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3B6925" w14:textId="442BB498" w:rsid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Yu Gothic Light" w:cs="Times New Roman"/>
          <w:b/>
          <w:caps/>
          <w:color w:val="000000"/>
          <w:spacing w:val="26"/>
          <w:szCs w:val="40"/>
        </w:rPr>
      </w:pPr>
      <w:r w:rsidRPr="00C61CF3">
        <w:rPr>
          <w:rFonts w:eastAsia="Yu Gothic Light" w:cs="Times New Roman"/>
          <w:b/>
          <w:caps/>
          <w:color w:val="000000"/>
          <w:spacing w:val="26"/>
          <w:szCs w:val="40"/>
        </w:rPr>
        <w:t xml:space="preserve">MODELO </w:t>
      </w:r>
      <w:r>
        <w:rPr>
          <w:rFonts w:eastAsia="Yu Gothic Light" w:cs="Times New Roman"/>
          <w:b/>
          <w:caps/>
          <w:color w:val="000000"/>
          <w:spacing w:val="26"/>
          <w:szCs w:val="40"/>
        </w:rPr>
        <w:t>DE DECISÃO ADMINISTRATIVA EM PROCESSO SANCIONATÓRIO</w:t>
      </w:r>
    </w:p>
    <w:p w14:paraId="5A695803" w14:textId="03FA1C15" w:rsidR="00B85DB5" w:rsidRPr="00C61CF3" w:rsidRDefault="00B85DB5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Yu Gothic Light" w:cs="Times New Roman"/>
          <w:b/>
          <w:caps/>
          <w:color w:val="000000"/>
          <w:spacing w:val="26"/>
          <w:szCs w:val="40"/>
        </w:rPr>
      </w:pPr>
      <w:r>
        <w:rPr>
          <w:rFonts w:eastAsia="Yu Gothic Light" w:cs="Times New Roman"/>
          <w:b/>
          <w:caps/>
          <w:color w:val="000000"/>
          <w:spacing w:val="26"/>
          <w:szCs w:val="40"/>
        </w:rPr>
        <w:t>1ª instância</w:t>
      </w:r>
    </w:p>
    <w:p w14:paraId="1BBA17F3" w14:textId="77777777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ascii="Aptos SemiBold" w:eastAsia="Aptos" w:hAnsi="Aptos SemiBold" w:cs="Times New Roman"/>
        </w:rPr>
      </w:pPr>
      <w:r w:rsidRPr="00C61CF3">
        <w:rPr>
          <w:rFonts w:eastAsia="Yu Gothic Light" w:cs="Times New Roman"/>
          <w:b/>
          <w:caps/>
          <w:color w:val="000000"/>
          <w:spacing w:val="26"/>
          <w:szCs w:val="40"/>
        </w:rPr>
        <w:t>LEI Nº 14.133, DE 1º DE ABRIL DE 2021</w:t>
      </w:r>
    </w:p>
    <w:p w14:paraId="4D359680" w14:textId="597C46B4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Yu Gothic Light" w:cs="Times New Roman"/>
          <w:b/>
          <w:smallCaps/>
          <w:spacing w:val="20"/>
          <w:szCs w:val="32"/>
        </w:rPr>
        <w:t xml:space="preserve">Orientações para uso deste modelo </w:t>
      </w:r>
      <w:r>
        <w:rPr>
          <w:rFonts w:eastAsia="Yu Gothic Light" w:cs="Times New Roman"/>
          <w:b/>
          <w:smallCaps/>
          <w:spacing w:val="20"/>
          <w:szCs w:val="32"/>
        </w:rPr>
        <w:t>-</w:t>
      </w:r>
      <w:r w:rsidRPr="00C61CF3">
        <w:rPr>
          <w:rFonts w:eastAsia="Aptos" w:cs="Times New Roman"/>
        </w:rPr>
        <w:t xml:space="preserve"> </w:t>
      </w:r>
      <w:r w:rsidRPr="00C61CF3">
        <w:rPr>
          <w:rFonts w:eastAsia="Yu Gothic Light" w:cs="Calibri"/>
          <w:b/>
          <w:i/>
          <w:iCs/>
          <w:smallCaps/>
          <w:color w:val="FF0000"/>
          <w:spacing w:val="22"/>
          <w:szCs w:val="32"/>
        </w:rPr>
        <w:t>Leitura Obrigatória</w:t>
      </w:r>
    </w:p>
    <w:p w14:paraId="1BDB8272" w14:textId="7F3F6424" w:rsid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Aptos" w:cs="Times New Roman"/>
        </w:rPr>
        <w:t xml:space="preserve">O presente modelo de </w:t>
      </w:r>
      <w:r>
        <w:rPr>
          <w:rFonts w:eastAsia="Aptos" w:cs="Times New Roman"/>
        </w:rPr>
        <w:t>Decisão Administrativa</w:t>
      </w:r>
      <w:r w:rsidRPr="00C61CF3">
        <w:rPr>
          <w:rFonts w:eastAsia="Aptos" w:cs="Times New Roman"/>
        </w:rPr>
        <w:t xml:space="preserve"> procura fornecer um ponto de partida para a </w:t>
      </w:r>
      <w:r>
        <w:rPr>
          <w:rFonts w:eastAsia="Aptos" w:cs="Times New Roman"/>
        </w:rPr>
        <w:t>decisão da autoridade competente em processos de aplicação de sanção em razão de infração administrativa prevista na Lei nº 14.133, de 1º de abril de 2021.</w:t>
      </w:r>
    </w:p>
    <w:p w14:paraId="4F281000" w14:textId="77777777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Aptos" w:cs="Times New Roman"/>
        </w:rPr>
        <w:t xml:space="preserve">O conteúdo descrito na cor </w:t>
      </w:r>
      <w:r w:rsidRPr="00C61CF3">
        <w:rPr>
          <w:rFonts w:eastAsia="Yu Gothic Light" w:cs="Times New Roman"/>
          <w:b/>
          <w:smallCaps/>
          <w:spacing w:val="20"/>
          <w:szCs w:val="32"/>
        </w:rPr>
        <w:t>preta</w:t>
      </w:r>
      <w:r w:rsidRPr="00C61CF3">
        <w:rPr>
          <w:rFonts w:eastAsia="Aptos" w:cs="Times New Roman"/>
        </w:rPr>
        <w:t xml:space="preserve"> consiste em sugestão geral aplicável a todas as situações.</w:t>
      </w:r>
    </w:p>
    <w:p w14:paraId="4EFABFDE" w14:textId="77777777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 w:rsidRPr="00C61CF3">
        <w:rPr>
          <w:rFonts w:eastAsia="Aptos" w:cs="Times New Roman"/>
        </w:rPr>
        <w:t xml:space="preserve">O conteúdo descrito em </w:t>
      </w:r>
      <w:r w:rsidRPr="00C61CF3">
        <w:rPr>
          <w:rFonts w:eastAsia="Yu Gothic Light" w:cs="Times New Roman"/>
          <w:b/>
          <w:i/>
          <w:iCs/>
          <w:smallCaps/>
          <w:color w:val="FF0000"/>
          <w:spacing w:val="22"/>
          <w:szCs w:val="32"/>
        </w:rPr>
        <w:t>vermelho itálico</w:t>
      </w:r>
      <w:r w:rsidRPr="00C61CF3">
        <w:rPr>
          <w:rFonts w:eastAsia="Aptos" w:cs="Times New Roman"/>
          <w:color w:val="FF0000"/>
        </w:rPr>
        <w:t xml:space="preserve"> </w:t>
      </w:r>
      <w:r w:rsidRPr="00C61CF3">
        <w:rPr>
          <w:rFonts w:eastAsia="Aptos" w:cs="Times New Roman"/>
        </w:rPr>
        <w:t>consiste em exemplos que podem servir de modelo aos responsáveis pela elaboração do documento.</w:t>
      </w:r>
    </w:p>
    <w:p w14:paraId="049F88C2" w14:textId="29B7A1BC" w:rsidR="00C61CF3" w:rsidRPr="00C61CF3" w:rsidRDefault="00C61CF3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O conteúdo descrito em</w:t>
      </w:r>
      <w:r w:rsidRPr="00C61CF3">
        <w:rPr>
          <w:rFonts w:eastAsia="Aptos" w:cs="Times New Roman"/>
        </w:rPr>
        <w:t xml:space="preserve"> </w:t>
      </w:r>
      <w:r w:rsidRPr="00C61CF3">
        <w:rPr>
          <w:rFonts w:eastAsia="Times New Roman" w:cs="Times New Roman"/>
          <w:b/>
          <w:i/>
          <w:iCs/>
          <w:smallCaps/>
          <w:color w:val="0000FF"/>
          <w:spacing w:val="20"/>
          <w:szCs w:val="32"/>
        </w:rPr>
        <w:t>azul itálico</w:t>
      </w:r>
      <w:r w:rsidRPr="00C61CF3">
        <w:rPr>
          <w:rFonts w:eastAsia="Aptos" w:cs="Times New Roman"/>
        </w:rPr>
        <w:t xml:space="preserve">, acompanhada da conjunção </w:t>
      </w:r>
      <w:r w:rsidRPr="00C61CF3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Pr="00C61CF3">
        <w:rPr>
          <w:rFonts w:eastAsia="Aptos" w:cs="Times New Roman"/>
        </w:rPr>
        <w:t>, indica existência de opções alternativas a serem adotadas de acordo com o caso concreto. As opções são excludentes, devendo ser excluídas aquela(s) não contemplada(s).</w:t>
      </w:r>
    </w:p>
    <w:p w14:paraId="0F9BA06A" w14:textId="722B4454" w:rsidR="00C61CF3" w:rsidRPr="00C61CF3" w:rsidRDefault="00977444" w:rsidP="00C61CF3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Aptos" w:cs="Times New Roman"/>
        </w:rPr>
      </w:pPr>
      <w:r>
        <w:rPr>
          <w:rFonts w:eastAsia="Aptos" w:cs="Times New Roman"/>
        </w:rPr>
        <w:t>Alguns</w:t>
      </w:r>
      <w:r w:rsidR="00C61CF3" w:rsidRPr="00C61CF3">
        <w:rPr>
          <w:rFonts w:eastAsia="Aptos" w:cs="Times New Roman"/>
        </w:rPr>
        <w:t xml:space="preserve"> itens receberam notas explicativas destacadas para compreensão do agente ou setor responsável pela elaboração, que deverão ser suprimidas quando da finalização do documento.</w:t>
      </w:r>
    </w:p>
    <w:p w14:paraId="16B6771B" w14:textId="194AA316" w:rsidR="004E7D01" w:rsidRDefault="004E7D01" w:rsidP="00DF53CE">
      <w:pPr>
        <w:pStyle w:val="Ttulo-SemNmero"/>
      </w:pPr>
      <w:r w:rsidRPr="001D1DA3">
        <w:t>DECISÃO ADMINISTRATIVA</w:t>
      </w:r>
    </w:p>
    <w:p w14:paraId="50588709" w14:textId="77777777" w:rsidR="00094007" w:rsidRPr="00094007" w:rsidRDefault="00094007" w:rsidP="00094007">
      <w:pPr>
        <w:jc w:val="center"/>
        <w:rPr>
          <w:rFonts w:eastAsia="Aptos" w:cs="Times New Roman"/>
        </w:rPr>
      </w:pPr>
      <w:r w:rsidRPr="00094007">
        <w:rPr>
          <w:rFonts w:eastAsia="Aptos" w:cs="Times New Roman"/>
        </w:rPr>
        <w:t xml:space="preserve">(Processo Administrativo nº </w:t>
      </w:r>
      <w:r w:rsidRPr="00094007">
        <w:rPr>
          <w:rFonts w:eastAsia="Times New Roman" w:cs="Times New Roman"/>
          <w:i/>
          <w:color w:val="FF0000"/>
          <w:szCs w:val="40"/>
        </w:rPr>
        <w:t>...........</w:t>
      </w:r>
      <w:r w:rsidRPr="00094007">
        <w:rPr>
          <w:rFonts w:eastAsia="Aptos" w:cs="Times New Roman"/>
        </w:rPr>
        <w:t>)</w:t>
      </w:r>
    </w:p>
    <w:p w14:paraId="3F582332" w14:textId="5D51D91C" w:rsidR="004E7D01" w:rsidRDefault="007C3BB2" w:rsidP="00DF53CE">
      <w:r w:rsidRPr="00A262D8">
        <w:t>Trata-se</w:t>
      </w:r>
      <w:r w:rsidR="004E7D01" w:rsidRPr="00A262D8">
        <w:t xml:space="preserve"> de </w:t>
      </w:r>
      <w:r w:rsidR="008D3D92" w:rsidRPr="00A262D8">
        <w:t>Procedimento Sancionatório</w:t>
      </w:r>
      <w:r w:rsidR="004E7D01" w:rsidRPr="00A262D8">
        <w:t xml:space="preserve"> </w:t>
      </w:r>
      <w:r w:rsidRPr="00A262D8">
        <w:t xml:space="preserve">para apurar </w:t>
      </w:r>
      <w:r w:rsidR="008D3D92" w:rsidRPr="00A262D8">
        <w:t>suposta infração administrativa</w:t>
      </w:r>
      <w:r w:rsidR="00FD0744" w:rsidRPr="00A262D8">
        <w:t>,</w:t>
      </w:r>
      <w:r w:rsidR="008D3D92" w:rsidRPr="00A262D8">
        <w:t xml:space="preserve"> no âmbito da Lei nº 14.133, de 1º de abril de 2021</w:t>
      </w:r>
      <w:r w:rsidR="00FD0744" w:rsidRPr="00A262D8">
        <w:t xml:space="preserve">, cometida por </w:t>
      </w:r>
      <w:r w:rsidR="00FD0744" w:rsidRPr="007C3173">
        <w:rPr>
          <w:i/>
          <w:iCs/>
          <w:color w:val="FF0000"/>
        </w:rPr>
        <w:t>xxxxxxx</w:t>
      </w:r>
      <w:r w:rsidR="00051362">
        <w:t>.</w:t>
      </w:r>
    </w:p>
    <w:p w14:paraId="235A2830" w14:textId="15F70E4B" w:rsidR="007C3173" w:rsidRDefault="007C3173" w:rsidP="007C3173">
      <w:r>
        <w:t>A autoridade competente instaurou o processo, com fundamento no art. 19 do Decreto nº 433, de 15 de abril de 2025, mediante provocação da Secretaria Municipal de Educação, que relatou a ocorrência de infração contratual</w:t>
      </w:r>
      <w:r w:rsidR="00051362">
        <w:t>.</w:t>
      </w:r>
    </w:p>
    <w:p w14:paraId="54C48D22" w14:textId="1823A95D" w:rsidR="007C3173" w:rsidRDefault="007C3173" w:rsidP="007C3173">
      <w:pPr>
        <w:rPr>
          <w:i/>
          <w:iCs/>
          <w:color w:val="FF0000"/>
        </w:rPr>
      </w:pPr>
      <w:r w:rsidRPr="00051362">
        <w:rPr>
          <w:i/>
          <w:iCs/>
          <w:color w:val="FF0000"/>
        </w:rPr>
        <w:t>Previamente, foi expedida notificação preliminar à contratada, conforme exigência do art. 19, § 2º do Decreto nº 433, de 2025, concedendo-lhe prazo para apresentar justificativa ou sanar a irregularidade, o que não foi atendido de modo satisfatório</w:t>
      </w:r>
      <w:r w:rsidR="00051362">
        <w:rPr>
          <w:i/>
          <w:iCs/>
          <w:color w:val="FF0000"/>
        </w:rPr>
        <w:t>.</w:t>
      </w:r>
    </w:p>
    <w:p w14:paraId="57164E0E" w14:textId="32B5A1F1" w:rsidR="00051362" w:rsidRPr="00C939A9" w:rsidRDefault="00051362" w:rsidP="00051362">
      <w:pPr>
        <w:pStyle w:val="NotaExplicativa"/>
      </w:pPr>
      <w:r w:rsidRPr="000F78BC">
        <w:rPr>
          <w:rStyle w:val="DestaqueChar"/>
        </w:rPr>
        <w:t>Nota Explicativa:</w:t>
      </w:r>
      <w:r>
        <w:t xml:space="preserve"> Se tal providência tiver sido tomada, manter o tópico acima.</w:t>
      </w:r>
    </w:p>
    <w:p w14:paraId="78242EE8" w14:textId="474A7D8C" w:rsidR="007C3173" w:rsidRDefault="007C3173" w:rsidP="007C3173">
      <w:r>
        <w:t>O processo foi instruído com as peças previstas no art. 20 do Decreto nº 433, de 2025, garantindo-se à interessada a ciência da instauração (art. 22), prazo para apresentação de defesa prévia (art. 22, § 3º), bem como vistas dos autos (art. 24). A contratada apresentou defesa, que será analisada a seguir</w:t>
      </w:r>
      <w:r w:rsidR="00051362">
        <w:t>.</w:t>
      </w:r>
    </w:p>
    <w:p w14:paraId="7C69ABD6" w14:textId="71A8EAAC" w:rsidR="00051362" w:rsidRPr="00C939A9" w:rsidRDefault="00051362" w:rsidP="00051362">
      <w:pPr>
        <w:pStyle w:val="NotaExplicativa"/>
      </w:pPr>
      <w:r w:rsidRPr="000F78BC">
        <w:rPr>
          <w:rStyle w:val="DestaqueChar"/>
        </w:rPr>
        <w:t>Nota Explicativa:</w:t>
      </w:r>
      <w:r>
        <w:t xml:space="preserve"> Verificar se realmente todos os documentos foram anexados.</w:t>
      </w:r>
    </w:p>
    <w:p w14:paraId="48B895D8" w14:textId="347B670C" w:rsidR="004E7D01" w:rsidRDefault="004E7D01" w:rsidP="00DF53CE">
      <w:r w:rsidRPr="00A262D8">
        <w:lastRenderedPageBreak/>
        <w:t xml:space="preserve">Vieram os autos </w:t>
      </w:r>
      <w:r w:rsidR="008D3D92" w:rsidRPr="00A262D8">
        <w:t xml:space="preserve">ao </w:t>
      </w:r>
      <w:r w:rsidR="008D3D92" w:rsidRPr="00051362">
        <w:rPr>
          <w:i/>
          <w:iCs/>
          <w:color w:val="3333FF"/>
        </w:rPr>
        <w:t>S</w:t>
      </w:r>
      <w:r w:rsidR="00AD680B" w:rsidRPr="00051362">
        <w:rPr>
          <w:i/>
          <w:iCs/>
          <w:color w:val="3333FF"/>
        </w:rPr>
        <w:t>ubs</w:t>
      </w:r>
      <w:r w:rsidR="008D3D92" w:rsidRPr="00051362">
        <w:rPr>
          <w:i/>
          <w:iCs/>
          <w:color w:val="3333FF"/>
        </w:rPr>
        <w:t xml:space="preserve">ecretário </w:t>
      </w:r>
      <w:r w:rsidR="00AD680B" w:rsidRPr="00051362">
        <w:rPr>
          <w:i/>
          <w:iCs/>
          <w:color w:val="3333FF"/>
        </w:rPr>
        <w:t>de Compras</w:t>
      </w:r>
      <w:r w:rsidR="00BB2858" w:rsidRPr="00051362">
        <w:rPr>
          <w:i/>
          <w:iCs/>
          <w:color w:val="3333FF"/>
        </w:rPr>
        <w:t xml:space="preserve"> Públicas</w:t>
      </w:r>
      <w:r w:rsidR="00051362" w:rsidRPr="00051362">
        <w:rPr>
          <w:i/>
          <w:iCs/>
          <w:color w:val="3333FF"/>
        </w:rPr>
        <w:t xml:space="preserve"> </w:t>
      </w:r>
      <w:r w:rsidR="00051362" w:rsidRPr="00051362">
        <w:rPr>
          <w:rStyle w:val="OUChar"/>
        </w:rPr>
        <w:t>OU</w:t>
      </w:r>
      <w:r w:rsidR="00051362" w:rsidRPr="00051362">
        <w:rPr>
          <w:i/>
          <w:iCs/>
          <w:color w:val="3333FF"/>
        </w:rPr>
        <w:t xml:space="preserve"> Secretário Municipal de Administração e Planejamento</w:t>
      </w:r>
      <w:r w:rsidRPr="00A262D8">
        <w:t>, para deliberação final</w:t>
      </w:r>
      <w:r w:rsidR="00051362">
        <w:t>.</w:t>
      </w:r>
    </w:p>
    <w:p w14:paraId="29A6E35B" w14:textId="0E8E5305" w:rsidR="00051362" w:rsidRPr="00C939A9" w:rsidRDefault="00051362" w:rsidP="00051362">
      <w:pPr>
        <w:pStyle w:val="NotaExplicativa"/>
      </w:pPr>
      <w:r w:rsidRPr="000F78BC">
        <w:rPr>
          <w:rStyle w:val="DestaqueChar"/>
        </w:rPr>
        <w:t>Nota Explicativa:</w:t>
      </w:r>
      <w:r>
        <w:t xml:space="preserve"> Caso a infração esteja sujeita a pena de declaração de inidoneidade, a decisão em 1º instância será do Secretaria Municipal de Administração e Planejamento.</w:t>
      </w:r>
    </w:p>
    <w:p w14:paraId="491A54C3" w14:textId="1DA4ECC5" w:rsidR="004E7D01" w:rsidRPr="001D1DA3" w:rsidRDefault="004E7D01" w:rsidP="00DF53CE">
      <w:r w:rsidRPr="001D1DA3">
        <w:t>É o necessário relatório</w:t>
      </w:r>
      <w:r w:rsidR="00051362">
        <w:t>, passo a decidir.</w:t>
      </w:r>
    </w:p>
    <w:p w14:paraId="4AC56FDF" w14:textId="784C22E2" w:rsidR="000F78BC" w:rsidRPr="00C939A9" w:rsidRDefault="000F78BC" w:rsidP="000F78BC">
      <w:pPr>
        <w:pStyle w:val="NotaExplicativa"/>
      </w:pPr>
      <w:r w:rsidRPr="000F78BC">
        <w:rPr>
          <w:rStyle w:val="DestaqueChar"/>
        </w:rPr>
        <w:t>Nota Explicativa:</w:t>
      </w:r>
      <w:r>
        <w:t xml:space="preserve"> A redação abaixo é meramente exemplificativa, devendo ser adequada conforme o caso concreto exigir.</w:t>
      </w:r>
    </w:p>
    <w:p w14:paraId="5625AE8C" w14:textId="67FF91C5" w:rsidR="00C71A15" w:rsidRPr="00C71A15" w:rsidRDefault="00C71A15" w:rsidP="00C71A15">
      <w:pPr>
        <w:rPr>
          <w:i/>
          <w:iCs/>
          <w:color w:val="FF0000"/>
        </w:rPr>
      </w:pPr>
      <w:r w:rsidRPr="00C71A15">
        <w:rPr>
          <w:i/>
          <w:iCs/>
          <w:color w:val="FF0000"/>
        </w:rPr>
        <w:t>Verifica-se que o procedimento observou os pressupostos de validade do ato administrativo, notadamente quanto à competência da autoridade instauradora, à regular instauração do feito, à notificação da parte interessada, bem como à concessão do contraditório e da ampla defesa, em consonância com os arts. 15 a 24 do Decreto nº 433, de 2025</w:t>
      </w:r>
      <w:r w:rsidR="006F6060">
        <w:rPr>
          <w:i/>
          <w:iCs/>
          <w:color w:val="FF0000"/>
        </w:rPr>
        <w:t>.</w:t>
      </w:r>
    </w:p>
    <w:p w14:paraId="21475EF5" w14:textId="4AB507E8" w:rsidR="00D42915" w:rsidRPr="00C939A9" w:rsidRDefault="00C71A15" w:rsidP="00C71A15">
      <w:pPr>
        <w:rPr>
          <w:rFonts w:cstheme="minorHAnsi"/>
          <w:i/>
          <w:iCs/>
          <w:color w:val="FF0000"/>
        </w:rPr>
      </w:pPr>
      <w:r w:rsidRPr="00C939A9">
        <w:rPr>
          <w:rFonts w:cstheme="minorHAnsi"/>
          <w:i/>
          <w:iCs/>
          <w:color w:val="FF0000"/>
        </w:rPr>
        <w:t>A documentação essencial à apuração dos fatos foi corretamente juntada aos autos, inclusive com menção expressa às cláusulas contratuais infringidas, conforme exigido pelo art. 20, II, a a f do Decreto nº 433, de 2025</w:t>
      </w:r>
      <w:r w:rsidR="006F6060">
        <w:rPr>
          <w:rFonts w:cstheme="minorHAnsi"/>
          <w:i/>
          <w:iCs/>
          <w:color w:val="FF0000"/>
        </w:rPr>
        <w:t>.</w:t>
      </w:r>
    </w:p>
    <w:p w14:paraId="347FE6AF" w14:textId="14BD74D3" w:rsidR="00C71A15" w:rsidRPr="00C71A15" w:rsidRDefault="00C71A15" w:rsidP="00C71A15">
      <w:pPr>
        <w:rPr>
          <w:rFonts w:cstheme="minorHAnsi"/>
          <w:i/>
          <w:iCs/>
          <w:color w:val="FF0000"/>
        </w:rPr>
      </w:pPr>
      <w:r w:rsidRPr="00C71A15">
        <w:rPr>
          <w:rFonts w:cstheme="minorHAnsi"/>
          <w:i/>
          <w:iCs/>
          <w:color w:val="FF0000"/>
        </w:rPr>
        <w:t xml:space="preserve">A empresa não atendeu, </w:t>
      </w:r>
      <w:r w:rsidRPr="00C71A15">
        <w:rPr>
          <w:rFonts w:cstheme="minorHAnsi"/>
          <w:i/>
          <w:iCs/>
          <w:color w:val="0000FF"/>
        </w:rPr>
        <w:t>em sua totalidade</w:t>
      </w:r>
      <w:r w:rsidR="00C939A9" w:rsidRPr="00C939A9">
        <w:rPr>
          <w:rFonts w:cstheme="minorHAnsi"/>
          <w:i/>
          <w:iCs/>
          <w:color w:val="0000FF"/>
        </w:rPr>
        <w:t xml:space="preserve"> </w:t>
      </w:r>
      <w:r w:rsidR="00C939A9" w:rsidRPr="00C939A9">
        <w:rPr>
          <w:rStyle w:val="OUChar"/>
        </w:rPr>
        <w:t>OU</w:t>
      </w:r>
      <w:r w:rsidR="00C939A9" w:rsidRPr="00C939A9">
        <w:rPr>
          <w:rFonts w:cstheme="minorHAnsi"/>
          <w:i/>
          <w:iCs/>
          <w:color w:val="0000FF"/>
        </w:rPr>
        <w:t xml:space="preserve"> parcialmente</w:t>
      </w:r>
      <w:r w:rsidRPr="00C71A15">
        <w:rPr>
          <w:rFonts w:cstheme="minorHAnsi"/>
          <w:i/>
          <w:iCs/>
          <w:color w:val="FF0000"/>
        </w:rPr>
        <w:t>, a</w:t>
      </w:r>
      <w:r w:rsidRPr="00C939A9">
        <w:rPr>
          <w:rFonts w:cstheme="minorHAnsi"/>
          <w:i/>
          <w:iCs/>
          <w:color w:val="FF0000"/>
        </w:rPr>
        <w:t>(s)</w:t>
      </w:r>
      <w:r w:rsidRPr="00C71A15">
        <w:rPr>
          <w:rFonts w:cstheme="minorHAnsi"/>
          <w:i/>
          <w:iCs/>
          <w:color w:val="FF0000"/>
        </w:rPr>
        <w:t xml:space="preserve"> Autorizaç</w:t>
      </w:r>
      <w:r w:rsidRPr="00C939A9">
        <w:rPr>
          <w:rFonts w:cstheme="minorHAnsi"/>
          <w:i/>
          <w:iCs/>
          <w:color w:val="FF0000"/>
        </w:rPr>
        <w:t>ão(</w:t>
      </w:r>
      <w:r w:rsidRPr="00C71A15">
        <w:rPr>
          <w:rFonts w:cstheme="minorHAnsi"/>
          <w:i/>
          <w:iCs/>
          <w:color w:val="FF0000"/>
        </w:rPr>
        <w:t>ões</w:t>
      </w:r>
      <w:r w:rsidRPr="00C939A9">
        <w:rPr>
          <w:rFonts w:cstheme="minorHAnsi"/>
          <w:i/>
          <w:iCs/>
          <w:color w:val="FF0000"/>
        </w:rPr>
        <w:t>)</w:t>
      </w:r>
      <w:r w:rsidRPr="00C71A15">
        <w:rPr>
          <w:rFonts w:cstheme="minorHAnsi"/>
          <w:i/>
          <w:iCs/>
          <w:color w:val="FF0000"/>
        </w:rPr>
        <w:t xml:space="preserve"> de Fornecimento</w:t>
      </w:r>
      <w:r w:rsidRPr="00C939A9">
        <w:rPr>
          <w:rFonts w:cstheme="minorHAnsi"/>
          <w:i/>
          <w:iCs/>
          <w:color w:val="FF0000"/>
        </w:rPr>
        <w:t xml:space="preserve"> </w:t>
      </w:r>
      <w:r w:rsidRPr="00C71A15">
        <w:rPr>
          <w:rFonts w:cstheme="minorHAnsi"/>
          <w:i/>
          <w:iCs/>
          <w:color w:val="FF0000"/>
        </w:rPr>
        <w:t xml:space="preserve">nº </w:t>
      </w:r>
      <w:r w:rsidRPr="00C939A9">
        <w:rPr>
          <w:rFonts w:cstheme="minorHAnsi"/>
          <w:i/>
          <w:iCs/>
          <w:color w:val="FF0000"/>
        </w:rPr>
        <w:t>xxx</w:t>
      </w:r>
      <w:r w:rsidRPr="00C71A15">
        <w:rPr>
          <w:rFonts w:cstheme="minorHAnsi"/>
          <w:i/>
          <w:iCs/>
          <w:color w:val="FF0000"/>
        </w:rPr>
        <w:t xml:space="preserve">, de </w:t>
      </w:r>
      <w:r w:rsidRPr="00C939A9">
        <w:rPr>
          <w:rFonts w:cstheme="minorHAnsi"/>
          <w:i/>
          <w:iCs/>
          <w:color w:val="FF0000"/>
        </w:rPr>
        <w:t>xx</w:t>
      </w:r>
      <w:r w:rsidRPr="00C71A15">
        <w:rPr>
          <w:rFonts w:cstheme="minorHAnsi"/>
          <w:i/>
          <w:iCs/>
          <w:color w:val="FF0000"/>
        </w:rPr>
        <w:t xml:space="preserve"> de </w:t>
      </w:r>
      <w:r w:rsidRPr="00C939A9">
        <w:rPr>
          <w:rFonts w:cstheme="minorHAnsi"/>
          <w:i/>
          <w:iCs/>
          <w:color w:val="FF0000"/>
        </w:rPr>
        <w:t>xxx</w:t>
      </w:r>
      <w:r w:rsidRPr="00C71A15">
        <w:rPr>
          <w:rFonts w:cstheme="minorHAnsi"/>
          <w:i/>
          <w:iCs/>
          <w:color w:val="FF0000"/>
        </w:rPr>
        <w:t xml:space="preserve"> de </w:t>
      </w:r>
      <w:r w:rsidRPr="00C939A9">
        <w:rPr>
          <w:rFonts w:cstheme="minorHAnsi"/>
          <w:i/>
          <w:iCs/>
          <w:color w:val="FF0000"/>
        </w:rPr>
        <w:t>xxxx</w:t>
      </w:r>
      <w:r w:rsidRPr="00C71A15">
        <w:rPr>
          <w:rFonts w:cstheme="minorHAnsi"/>
          <w:i/>
          <w:iCs/>
          <w:color w:val="FF0000"/>
        </w:rPr>
        <w:t xml:space="preserve">, no valor de R$ </w:t>
      </w:r>
      <w:r w:rsidRPr="00C939A9">
        <w:rPr>
          <w:rFonts w:cstheme="minorHAnsi"/>
          <w:i/>
          <w:iCs/>
          <w:color w:val="FF0000"/>
        </w:rPr>
        <w:t>0,00</w:t>
      </w:r>
      <w:r w:rsidRPr="00C71A15">
        <w:rPr>
          <w:rFonts w:cstheme="minorHAnsi"/>
          <w:i/>
          <w:iCs/>
          <w:color w:val="FF0000"/>
        </w:rPr>
        <w:t xml:space="preserve"> (</w:t>
      </w:r>
      <w:r w:rsidRPr="00C939A9">
        <w:rPr>
          <w:rFonts w:cstheme="minorHAnsi"/>
          <w:i/>
          <w:iCs/>
          <w:color w:val="FF0000"/>
        </w:rPr>
        <w:t>xxxxxxx</w:t>
      </w:r>
      <w:r w:rsidRPr="00C71A15">
        <w:rPr>
          <w:rFonts w:cstheme="minorHAnsi"/>
          <w:i/>
          <w:iCs/>
          <w:color w:val="FF0000"/>
        </w:rPr>
        <w:t>), respectivamente, que lhes foram enviadas em mesma data</w:t>
      </w:r>
      <w:r w:rsidR="006F6060">
        <w:rPr>
          <w:rFonts w:cstheme="minorHAnsi"/>
          <w:i/>
          <w:iCs/>
          <w:color w:val="FF0000"/>
        </w:rPr>
        <w:t>.</w:t>
      </w:r>
    </w:p>
    <w:p w14:paraId="29C1A2D7" w14:textId="1723CC22" w:rsidR="00C71A15" w:rsidRPr="00C71A15" w:rsidRDefault="00C71A15" w:rsidP="00C71A15">
      <w:pPr>
        <w:rPr>
          <w:rFonts w:cstheme="minorHAnsi"/>
          <w:i/>
          <w:iCs/>
          <w:color w:val="FF0000"/>
        </w:rPr>
      </w:pPr>
      <w:r w:rsidRPr="00C71A15">
        <w:rPr>
          <w:rFonts w:cstheme="minorHAnsi"/>
          <w:i/>
          <w:iCs/>
          <w:color w:val="FF0000"/>
        </w:rPr>
        <w:t xml:space="preserve">Tal conduta se caracteriza como infração administração na execução contratual, conforme previsto no Edital do Pregão Eletrônico nº </w:t>
      </w:r>
      <w:r w:rsidR="00F82315" w:rsidRPr="00C939A9">
        <w:rPr>
          <w:rFonts w:cstheme="minorHAnsi"/>
          <w:i/>
          <w:iCs/>
          <w:color w:val="FF0000"/>
        </w:rPr>
        <w:t>xxx</w:t>
      </w:r>
      <w:r w:rsidRPr="00C71A15">
        <w:rPr>
          <w:rFonts w:cstheme="minorHAnsi"/>
          <w:i/>
          <w:iCs/>
          <w:color w:val="FF0000"/>
        </w:rPr>
        <w:t>/</w:t>
      </w:r>
      <w:r w:rsidR="00F82315" w:rsidRPr="00C939A9">
        <w:rPr>
          <w:rFonts w:cstheme="minorHAnsi"/>
          <w:i/>
          <w:iCs/>
          <w:color w:val="FF0000"/>
        </w:rPr>
        <w:t>xxxx</w:t>
      </w:r>
      <w:r w:rsidRPr="00C71A15">
        <w:rPr>
          <w:rFonts w:cstheme="minorHAnsi"/>
          <w:i/>
          <w:iCs/>
          <w:color w:val="FF0000"/>
        </w:rPr>
        <w:t>, na minuta de contrato, conforme abaixo:</w:t>
      </w:r>
    </w:p>
    <w:p w14:paraId="48C84C7F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12.1. Comete infração administrativa, nos termos da Lei nº 14.133, de 2021, o contratado que:</w:t>
      </w:r>
    </w:p>
    <w:p w14:paraId="472B7B6E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6A2AF5E3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c) Der causa à inexecução total do contrato;</w:t>
      </w:r>
    </w:p>
    <w:p w14:paraId="0D27F7E2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515D5A97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</w:p>
    <w:p w14:paraId="05692342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12.2. Serão aplicadas ao contratado que incorrer nas infrações acima descritas as seguintes sanções:</w:t>
      </w:r>
    </w:p>
    <w:p w14:paraId="2D7A4AA2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478DF068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 xml:space="preserve">b) </w:t>
      </w:r>
      <w:r w:rsidRPr="00F82315">
        <w:rPr>
          <w:rFonts w:asciiTheme="minorHAnsi" w:eastAsia="Times New Roman" w:hAnsiTheme="minorHAnsi" w:cstheme="minorHAnsi"/>
          <w:i/>
          <w:iCs/>
          <w:smallCaps/>
          <w:color w:val="FF0000"/>
          <w:sz w:val="20"/>
          <w:szCs w:val="24"/>
          <w:lang w:eastAsia="pt-BR"/>
        </w:rPr>
        <w:t>Impedimento de licitar e contratar</w:t>
      </w: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 xml:space="preserve">, quando praticadas as condutas descritas nas alíneas “b”, “c” e “d” do subitem acima deste Contrato, sempre que não se justificar a imposição de penalidade mais grave; </w:t>
      </w:r>
    </w:p>
    <w:p w14:paraId="2B4CB188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38436987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 xml:space="preserve">d) </w:t>
      </w:r>
      <w:r w:rsidRPr="00F82315">
        <w:rPr>
          <w:rFonts w:asciiTheme="minorHAnsi" w:eastAsia="Times New Roman" w:hAnsiTheme="minorHAnsi" w:cstheme="minorHAnsi"/>
          <w:i/>
          <w:iCs/>
          <w:smallCaps/>
          <w:color w:val="FF0000"/>
          <w:sz w:val="20"/>
          <w:szCs w:val="24"/>
          <w:lang w:eastAsia="pt-BR"/>
        </w:rPr>
        <w:t>Multa</w:t>
      </w: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:</w:t>
      </w:r>
    </w:p>
    <w:p w14:paraId="0D341F96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23AC722B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2. Compensatória, para a inexecução total do contrato prevista no subitem 8.1.3, de 10% do valor do Contrato;;</w:t>
      </w:r>
    </w:p>
    <w:p w14:paraId="29A4A9B3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lastRenderedPageBreak/>
        <w:t>(…)</w:t>
      </w:r>
    </w:p>
    <w:p w14:paraId="22CC84DA" w14:textId="42317C5C" w:rsidR="00F82315" w:rsidRPr="00F82315" w:rsidRDefault="00F82315" w:rsidP="00F82315">
      <w:pPr>
        <w:rPr>
          <w:rFonts w:cstheme="minorHAnsi"/>
          <w:i/>
          <w:iCs/>
          <w:color w:val="FF0000"/>
        </w:rPr>
      </w:pPr>
      <w:r w:rsidRPr="00F82315">
        <w:rPr>
          <w:rFonts w:cstheme="minorHAnsi"/>
          <w:i/>
          <w:iCs/>
          <w:color w:val="FF0000"/>
        </w:rPr>
        <w:t>Verifica-se que a empresa infratora incorre na prática de infração que enseja, a aplicação cumulativa das penalidades de impedimento de licitar e contratar com o Município, bem como de multa compensatória calculada sobre o valor total do contrato</w:t>
      </w:r>
      <w:r w:rsidR="006F6060">
        <w:rPr>
          <w:rFonts w:cstheme="minorHAnsi"/>
          <w:i/>
          <w:iCs/>
          <w:color w:val="FF0000"/>
        </w:rPr>
        <w:t>.</w:t>
      </w:r>
    </w:p>
    <w:p w14:paraId="1B1154D9" w14:textId="6AF82A8E" w:rsidR="00F82315" w:rsidRPr="00F82315" w:rsidRDefault="00F82315" w:rsidP="00F82315">
      <w:pPr>
        <w:rPr>
          <w:rFonts w:cstheme="minorHAnsi"/>
          <w:i/>
          <w:iCs/>
          <w:color w:val="FF0000"/>
        </w:rPr>
      </w:pPr>
      <w:r w:rsidRPr="00F82315">
        <w:rPr>
          <w:rFonts w:cstheme="minorHAnsi"/>
          <w:i/>
          <w:iCs/>
          <w:color w:val="FF0000"/>
        </w:rPr>
        <w:t xml:space="preserve">A conduta imputada — inexecução </w:t>
      </w:r>
      <w:r w:rsidRPr="00F82315">
        <w:rPr>
          <w:rFonts w:cstheme="minorHAnsi"/>
          <w:i/>
          <w:iCs/>
          <w:color w:val="0000FF"/>
        </w:rPr>
        <w:t xml:space="preserve">total </w:t>
      </w:r>
      <w:r w:rsidR="000F78BC" w:rsidRPr="000F78BC">
        <w:rPr>
          <w:rStyle w:val="OUChar"/>
        </w:rPr>
        <w:t>ou</w:t>
      </w:r>
      <w:r w:rsidR="000F78BC" w:rsidRPr="000F78BC">
        <w:rPr>
          <w:rFonts w:cstheme="minorHAnsi"/>
          <w:i/>
          <w:iCs/>
          <w:color w:val="0000FF"/>
        </w:rPr>
        <w:t xml:space="preserve"> parcial </w:t>
      </w:r>
      <w:r w:rsidRPr="00F82315">
        <w:rPr>
          <w:rFonts w:cstheme="minorHAnsi"/>
          <w:i/>
          <w:iCs/>
          <w:color w:val="FF0000"/>
        </w:rPr>
        <w:t>do objeto da contratação — encontra correspondência expressa no art. 7º, III do Decreto nº 433, de 2025, que prevê sanção de multa compensatória de 15% a 20% sobre o valor do contrato, podendo ainda ensejar a aplicação da penalidade de impedimento de licitar e contratar com o Município, nos termos do art. 13, II do mesmo diploma</w:t>
      </w:r>
      <w:r w:rsidR="006F6060">
        <w:rPr>
          <w:rFonts w:cstheme="minorHAnsi"/>
          <w:i/>
          <w:iCs/>
          <w:color w:val="FF0000"/>
        </w:rPr>
        <w:t>.</w:t>
      </w:r>
    </w:p>
    <w:p w14:paraId="18D38C0C" w14:textId="164624AB" w:rsidR="00C71A15" w:rsidRPr="00C939A9" w:rsidRDefault="00F82315" w:rsidP="00F82315">
      <w:pPr>
        <w:rPr>
          <w:rFonts w:cstheme="minorHAnsi"/>
          <w:i/>
          <w:iCs/>
          <w:color w:val="FF0000"/>
        </w:rPr>
      </w:pPr>
      <w:r w:rsidRPr="00C939A9">
        <w:rPr>
          <w:rFonts w:cstheme="minorHAnsi"/>
          <w:i/>
          <w:iCs/>
          <w:color w:val="FF0000"/>
        </w:rPr>
        <w:t>No caso em apreço, observa-se que o Decreto nº 433, de 2025, foi publicado em momento posterior ao Edital que regeu a contratação em análise, por essa razão, prevalecem os percentuais de multa estabelecidos no referido instrumento convocatório, em observância ao princípio da vinculação ao Edital</w:t>
      </w:r>
      <w:r w:rsidR="006F6060">
        <w:rPr>
          <w:rFonts w:cstheme="minorHAnsi"/>
          <w:i/>
          <w:iCs/>
          <w:color w:val="FF0000"/>
        </w:rPr>
        <w:t>.</w:t>
      </w:r>
    </w:p>
    <w:p w14:paraId="396A4DB1" w14:textId="4B86790E" w:rsidR="00F82315" w:rsidRPr="00F82315" w:rsidRDefault="00F82315" w:rsidP="00F82315">
      <w:pPr>
        <w:rPr>
          <w:rFonts w:cstheme="minorHAnsi"/>
          <w:i/>
          <w:iCs/>
          <w:color w:val="FF0000"/>
        </w:rPr>
      </w:pPr>
      <w:r w:rsidRPr="00F82315">
        <w:rPr>
          <w:rFonts w:cstheme="minorHAnsi"/>
          <w:i/>
          <w:iCs/>
          <w:color w:val="FF0000"/>
        </w:rPr>
        <w:t>A empresa não apresentou qualquer manifestação formal em sua defesa, limitando-informar que o material seria entregue na primeira semana de julho, o que até o presente momento não ocorreu. Tal conduta evidencia a ausência de contestação quanto aos fatos que ensejaram a apuração da irregularidade, não afastando, portanto, a responsabilidade pelo descumprimento contratual já verificado</w:t>
      </w:r>
      <w:r w:rsidR="006F6060">
        <w:rPr>
          <w:rFonts w:cstheme="minorHAnsi"/>
          <w:i/>
          <w:iCs/>
          <w:color w:val="FF0000"/>
        </w:rPr>
        <w:t>.</w:t>
      </w:r>
    </w:p>
    <w:p w14:paraId="3794D885" w14:textId="77777777" w:rsidR="00F82315" w:rsidRPr="00F82315" w:rsidRDefault="00F82315" w:rsidP="00F82315">
      <w:pPr>
        <w:rPr>
          <w:rFonts w:cstheme="minorHAnsi"/>
          <w:i/>
          <w:iCs/>
          <w:color w:val="FF0000"/>
        </w:rPr>
      </w:pPr>
      <w:r w:rsidRPr="00F82315">
        <w:rPr>
          <w:rFonts w:cstheme="minorHAnsi"/>
          <w:i/>
          <w:iCs/>
          <w:color w:val="FF0000"/>
        </w:rPr>
        <w:t>Nos termos do art. 15 do Decreto nº 433, de 2025, a aplicação da sanção deve observar os princípios da razoabilidade e da proporcionalidade, sendo considerados a natureza da infração, os danos à Administração, bem como eventuais circunstâncias agravantes ou atenuantes:</w:t>
      </w:r>
    </w:p>
    <w:p w14:paraId="3A573CF5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  <w:t>Art. 15 Na instrução da aplicação das sanções administrativas devem ser consideradas as seguintes circunstâncias e observados os princípios da razoabilidade, da proporcionalidade, do contraditório e da ampla defesa:</w:t>
      </w:r>
    </w:p>
    <w:p w14:paraId="3FCA4C6F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  <w:t>I - a natureza e a gravidade da infração cometida;</w:t>
      </w:r>
    </w:p>
    <w:p w14:paraId="4EE31876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  <w:t>II - as peculiaridades do caso concreto;</w:t>
      </w:r>
    </w:p>
    <w:p w14:paraId="792E5469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  <w:t>III - as circunstâncias agravantes ou atenuantes;</w:t>
      </w:r>
    </w:p>
    <w:p w14:paraId="01692F6B" w14:textId="77777777" w:rsidR="00F82315" w:rsidRPr="00F82315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  <w:t>IV - os danos que dela provierem para Administração Pública;</w:t>
      </w:r>
    </w:p>
    <w:p w14:paraId="6F503523" w14:textId="77777777" w:rsidR="00F82315" w:rsidRPr="00C939A9" w:rsidRDefault="00F82315" w:rsidP="00F82315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</w:pPr>
      <w:r w:rsidRPr="00F82315">
        <w:rPr>
          <w:rFonts w:asciiTheme="minorHAnsi" w:eastAsia="Times New Roman" w:hAnsiTheme="minorHAnsi" w:cstheme="minorHAnsi"/>
          <w:i/>
          <w:iCs/>
          <w:color w:val="FF0000"/>
          <w:sz w:val="20"/>
          <w:szCs w:val="20"/>
          <w:lang w:eastAsia="pt-BR"/>
        </w:rPr>
        <w:t>V - a implantação ou o aperfeiçoamento de programa de integridade, conforme normas e orientações dos órgãos de controle; e</w:t>
      </w:r>
    </w:p>
    <w:p w14:paraId="3DBB693A" w14:textId="7FF4D9B0" w:rsidR="00F82315" w:rsidRPr="00C939A9" w:rsidRDefault="00F82315" w:rsidP="00F82315">
      <w:pPr>
        <w:spacing w:before="0" w:after="0" w:line="288" w:lineRule="auto"/>
        <w:ind w:left="1701"/>
        <w:contextualSpacing/>
        <w:rPr>
          <w:rFonts w:asciiTheme="minorHAnsi" w:hAnsiTheme="minorHAnsi" w:cstheme="minorHAnsi"/>
          <w:i/>
          <w:iCs/>
          <w:color w:val="FF0000"/>
          <w:sz w:val="20"/>
          <w:szCs w:val="20"/>
        </w:rPr>
      </w:pPr>
      <w:r w:rsidRPr="00C939A9">
        <w:rPr>
          <w:rFonts w:asciiTheme="minorHAnsi" w:eastAsia="Aptos" w:hAnsiTheme="minorHAnsi" w:cstheme="minorHAnsi"/>
          <w:i/>
          <w:iCs/>
          <w:color w:val="FF0000"/>
          <w:sz w:val="20"/>
          <w:szCs w:val="20"/>
          <w:lang w:eastAsia="pt-BR"/>
        </w:rPr>
        <w:t>VI - o custo e benefício da instrução do processo em relação à sanção a ser aplicada.</w:t>
      </w:r>
    </w:p>
    <w:p w14:paraId="3837BF81" w14:textId="77777777" w:rsidR="00F82315" w:rsidRPr="00F82315" w:rsidRDefault="00F82315" w:rsidP="00F82315">
      <w:pPr>
        <w:rPr>
          <w:i/>
          <w:iCs/>
          <w:color w:val="FF0000"/>
        </w:rPr>
      </w:pPr>
      <w:r w:rsidRPr="00F82315">
        <w:rPr>
          <w:i/>
          <w:iCs/>
          <w:color w:val="FF0000"/>
        </w:rPr>
        <w:t>Neste caso, observa-se:</w:t>
      </w:r>
    </w:p>
    <w:p w14:paraId="4DBA7AC6" w14:textId="77777777" w:rsidR="00F82315" w:rsidRPr="00C939A9" w:rsidRDefault="00F82315" w:rsidP="00F82315">
      <w:pPr>
        <w:pStyle w:val="PargrafodaLista"/>
        <w:numPr>
          <w:ilvl w:val="0"/>
          <w:numId w:val="34"/>
        </w:numPr>
        <w:rPr>
          <w:i/>
          <w:iCs/>
          <w:color w:val="FF0000"/>
        </w:rPr>
      </w:pPr>
      <w:r w:rsidRPr="00C939A9">
        <w:rPr>
          <w:i/>
          <w:iCs/>
          <w:color w:val="FF0000"/>
        </w:rPr>
        <w:t>Gravidade da infração: trata-se de inexecução total, que comprometeu por completo o objeto contratual;</w:t>
      </w:r>
    </w:p>
    <w:p w14:paraId="0604DFA4" w14:textId="77777777" w:rsidR="00F82315" w:rsidRPr="00C939A9" w:rsidRDefault="00F82315" w:rsidP="00F82315">
      <w:pPr>
        <w:pStyle w:val="PargrafodaLista"/>
        <w:numPr>
          <w:ilvl w:val="0"/>
          <w:numId w:val="34"/>
        </w:numPr>
        <w:rPr>
          <w:i/>
          <w:iCs/>
          <w:color w:val="FF0000"/>
        </w:rPr>
      </w:pPr>
      <w:r w:rsidRPr="00C939A9">
        <w:rPr>
          <w:i/>
          <w:iCs/>
          <w:color w:val="FF0000"/>
        </w:rPr>
        <w:t>Dano à Administração: prejuízo à continuidade do serviço público;</w:t>
      </w:r>
    </w:p>
    <w:p w14:paraId="040444AA" w14:textId="77777777" w:rsidR="00F82315" w:rsidRPr="00C939A9" w:rsidRDefault="00F82315" w:rsidP="00F82315">
      <w:pPr>
        <w:pStyle w:val="PargrafodaLista"/>
        <w:numPr>
          <w:ilvl w:val="0"/>
          <w:numId w:val="34"/>
        </w:numPr>
        <w:rPr>
          <w:i/>
          <w:iCs/>
          <w:color w:val="FF0000"/>
        </w:rPr>
      </w:pPr>
      <w:r w:rsidRPr="00C939A9">
        <w:rPr>
          <w:i/>
          <w:iCs/>
          <w:color w:val="FF0000"/>
        </w:rPr>
        <w:lastRenderedPageBreak/>
        <w:t>Atenuantes: a empresa é primária, não sendo identificada reincidência;</w:t>
      </w:r>
    </w:p>
    <w:p w14:paraId="32CAD612" w14:textId="77777777" w:rsidR="00F82315" w:rsidRPr="00C939A9" w:rsidRDefault="00F82315" w:rsidP="00F82315">
      <w:pPr>
        <w:pStyle w:val="PargrafodaLista"/>
        <w:numPr>
          <w:ilvl w:val="0"/>
          <w:numId w:val="34"/>
        </w:numPr>
        <w:rPr>
          <w:i/>
          <w:iCs/>
          <w:color w:val="FF0000"/>
        </w:rPr>
      </w:pPr>
      <w:r w:rsidRPr="00C939A9">
        <w:rPr>
          <w:i/>
          <w:iCs/>
          <w:color w:val="FF0000"/>
        </w:rPr>
        <w:t>Agravantes: não houve nenhuma tentativa de mitigar os efeitos da infração nem comunicação prévia à Administração.</w:t>
      </w:r>
    </w:p>
    <w:p w14:paraId="193BFD5B" w14:textId="00BC748F" w:rsidR="00F82315" w:rsidRPr="00C939A9" w:rsidRDefault="00F82315" w:rsidP="00F82315">
      <w:pPr>
        <w:rPr>
          <w:i/>
          <w:iCs/>
          <w:color w:val="FF0000"/>
        </w:rPr>
      </w:pPr>
      <w:r w:rsidRPr="00C939A9">
        <w:rPr>
          <w:i/>
          <w:iCs/>
          <w:color w:val="FF0000"/>
        </w:rPr>
        <w:t>De acordo com o tipo infracional identificado e sua correspondência com os arts. 7º e 13 do Decreto nº 433, de 2025</w:t>
      </w:r>
      <w:r w:rsidR="006F6060">
        <w:rPr>
          <w:i/>
          <w:iCs/>
          <w:color w:val="FF0000"/>
        </w:rPr>
        <w:t>.</w:t>
      </w:r>
    </w:p>
    <w:p w14:paraId="2D7354AA" w14:textId="4B7407B4" w:rsidR="00F82315" w:rsidRPr="00C939A9" w:rsidRDefault="00F82315" w:rsidP="00F82315">
      <w:pPr>
        <w:rPr>
          <w:i/>
          <w:iCs/>
          <w:color w:val="FF0000"/>
        </w:rPr>
      </w:pPr>
      <w:r w:rsidRPr="00C939A9">
        <w:rPr>
          <w:i/>
          <w:iCs/>
          <w:color w:val="FF0000"/>
        </w:rPr>
        <w:t xml:space="preserve">Quanto à penalidade de multa, se entende adequada a aplicação do percentual de 10% (dez por cento) sobre o valor total do contrato, resultando no montante de R$ </w:t>
      </w:r>
      <w:r w:rsidR="000F78BC">
        <w:rPr>
          <w:i/>
          <w:iCs/>
          <w:color w:val="FF0000"/>
        </w:rPr>
        <w:t>0,00</w:t>
      </w:r>
      <w:r w:rsidRPr="00C939A9">
        <w:rPr>
          <w:i/>
          <w:iCs/>
          <w:color w:val="FF0000"/>
        </w:rPr>
        <w:t xml:space="preserve"> (</w:t>
      </w:r>
      <w:r w:rsidR="000F78BC">
        <w:rPr>
          <w:i/>
          <w:iCs/>
          <w:color w:val="FF0000"/>
        </w:rPr>
        <w:t>xxxxx</w:t>
      </w:r>
      <w:r w:rsidRPr="00C939A9">
        <w:rPr>
          <w:i/>
          <w:iCs/>
          <w:color w:val="FF0000"/>
        </w:rPr>
        <w:t xml:space="preserve">) e R$ </w:t>
      </w:r>
      <w:r w:rsidR="000F78BC">
        <w:rPr>
          <w:i/>
          <w:iCs/>
          <w:color w:val="FF0000"/>
        </w:rPr>
        <w:t>0,00</w:t>
      </w:r>
      <w:r w:rsidRPr="00C939A9">
        <w:rPr>
          <w:i/>
          <w:iCs/>
          <w:color w:val="FF0000"/>
        </w:rPr>
        <w:t xml:space="preserve"> (</w:t>
      </w:r>
      <w:r w:rsidR="000F78BC">
        <w:rPr>
          <w:i/>
          <w:iCs/>
          <w:color w:val="FF0000"/>
        </w:rPr>
        <w:t>xxxxx</w:t>
      </w:r>
      <w:r w:rsidRPr="00C939A9">
        <w:rPr>
          <w:i/>
          <w:iCs/>
          <w:color w:val="FF0000"/>
        </w:rPr>
        <w:t xml:space="preserve">), respectivamente, em conformidade com os parâmetros estabelecidos no edital e na legislação aplicável, totalizando R$ </w:t>
      </w:r>
      <w:r w:rsidR="000F78BC">
        <w:rPr>
          <w:i/>
          <w:iCs/>
          <w:color w:val="FF0000"/>
        </w:rPr>
        <w:t>0,00</w:t>
      </w:r>
      <w:r w:rsidRPr="00C939A9">
        <w:rPr>
          <w:i/>
          <w:iCs/>
          <w:color w:val="FF0000"/>
        </w:rPr>
        <w:t xml:space="preserve"> (</w:t>
      </w:r>
      <w:r w:rsidR="000F78BC">
        <w:rPr>
          <w:i/>
          <w:iCs/>
          <w:color w:val="FF0000"/>
        </w:rPr>
        <w:t>xxxxx</w:t>
      </w:r>
      <w:r w:rsidRPr="00C939A9">
        <w:rPr>
          <w:i/>
          <w:iCs/>
          <w:color w:val="FF0000"/>
        </w:rPr>
        <w:t>)</w:t>
      </w:r>
      <w:r w:rsidR="006F6060">
        <w:rPr>
          <w:i/>
          <w:iCs/>
          <w:color w:val="FF0000"/>
        </w:rPr>
        <w:t>.</w:t>
      </w:r>
    </w:p>
    <w:p w14:paraId="3C83D7F9" w14:textId="04CA3097" w:rsidR="00F82315" w:rsidRPr="00C939A9" w:rsidRDefault="00F82315" w:rsidP="00F82315">
      <w:pPr>
        <w:rPr>
          <w:i/>
          <w:iCs/>
          <w:color w:val="FF0000"/>
        </w:rPr>
      </w:pPr>
      <w:r w:rsidRPr="00C939A9">
        <w:rPr>
          <w:i/>
          <w:iCs/>
          <w:color w:val="FF0000"/>
        </w:rPr>
        <w:t xml:space="preserve">A penalidade aplicada </w:t>
      </w:r>
      <w:r w:rsidRPr="000F78BC">
        <w:rPr>
          <w:i/>
          <w:iCs/>
          <w:color w:val="0000FF"/>
        </w:rPr>
        <w:t xml:space="preserve">é </w:t>
      </w:r>
      <w:r w:rsidR="00C939A9" w:rsidRPr="000F78BC">
        <w:rPr>
          <w:rStyle w:val="OUChar"/>
        </w:rPr>
        <w:t>ou</w:t>
      </w:r>
      <w:r w:rsidR="00C939A9" w:rsidRPr="000F78BC">
        <w:rPr>
          <w:i/>
          <w:iCs/>
          <w:color w:val="0000FF"/>
        </w:rPr>
        <w:t xml:space="preserve"> não é</w:t>
      </w:r>
      <w:r w:rsidR="00C939A9" w:rsidRPr="00C939A9">
        <w:rPr>
          <w:i/>
          <w:iCs/>
          <w:color w:val="FF0000"/>
        </w:rPr>
        <w:t xml:space="preserve"> </w:t>
      </w:r>
      <w:r w:rsidRPr="00C939A9">
        <w:rPr>
          <w:i/>
          <w:iCs/>
          <w:color w:val="FF0000"/>
        </w:rPr>
        <w:t xml:space="preserve">considerada de valor irrisório, uma vez que o montante estipulado </w:t>
      </w:r>
      <w:r w:rsidRPr="000F78BC">
        <w:rPr>
          <w:i/>
          <w:iCs/>
          <w:color w:val="0000FF"/>
        </w:rPr>
        <w:t>não supera</w:t>
      </w:r>
      <w:r w:rsidR="00C939A9" w:rsidRPr="000F78BC">
        <w:rPr>
          <w:i/>
          <w:iCs/>
          <w:color w:val="0000FF"/>
        </w:rPr>
        <w:t xml:space="preserve"> </w:t>
      </w:r>
      <w:r w:rsidR="00C939A9" w:rsidRPr="000F78BC">
        <w:rPr>
          <w:rStyle w:val="OUChar"/>
        </w:rPr>
        <w:t>ou</w:t>
      </w:r>
      <w:r w:rsidR="00C939A9" w:rsidRPr="000F78BC">
        <w:rPr>
          <w:i/>
          <w:iCs/>
          <w:color w:val="0000FF"/>
        </w:rPr>
        <w:t xml:space="preserve"> supera</w:t>
      </w:r>
      <w:r w:rsidRPr="000F78BC">
        <w:rPr>
          <w:i/>
          <w:iCs/>
          <w:color w:val="0000FF"/>
        </w:rPr>
        <w:t xml:space="preserve"> </w:t>
      </w:r>
      <w:r w:rsidRPr="00C939A9">
        <w:rPr>
          <w:i/>
          <w:iCs/>
          <w:color w:val="FF0000"/>
        </w:rPr>
        <w:t>o limite definido no art. 12 do Decreto nº 433, de 2025, se enquadrando, portanto, na hipótese de suspensão do processo sancionatório prevista naquele dispositivo, em relação a esta penalidade</w:t>
      </w:r>
      <w:r w:rsidR="006F6060">
        <w:rPr>
          <w:i/>
          <w:iCs/>
          <w:color w:val="FF0000"/>
        </w:rPr>
        <w:t>.</w:t>
      </w:r>
    </w:p>
    <w:p w14:paraId="0073B7D9" w14:textId="5667062F" w:rsidR="00F82315" w:rsidRPr="00C939A9" w:rsidRDefault="00F82315" w:rsidP="00F82315">
      <w:pPr>
        <w:rPr>
          <w:i/>
          <w:iCs/>
          <w:color w:val="FF0000"/>
        </w:rPr>
      </w:pPr>
      <w:r w:rsidRPr="00C939A9">
        <w:rPr>
          <w:i/>
          <w:iCs/>
          <w:color w:val="FF0000"/>
        </w:rPr>
        <w:t>Por sua vez, a aplicação da penalidade de impedimento de licitar e contratar com o Município encontra amparo no art. 13, II do Decreto nº 433, de 2025, o qual prevê expressamente tal sanção nos casos de inexecução total do contrato, hipótese que se configura de forma inequívoca nos autos:</w:t>
      </w:r>
    </w:p>
    <w:p w14:paraId="5BB99005" w14:textId="77777777" w:rsidR="00042BA4" w:rsidRPr="00042BA4" w:rsidRDefault="00042BA4" w:rsidP="00042BA4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042BA4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 xml:space="preserve">Art. 13. O impedimento de licitar e contratar com o Município, quando não se justificar a imposição de penalidade mais grave, será aplicado ao responsável pelas seguintes infrações administrativas: </w:t>
      </w:r>
    </w:p>
    <w:p w14:paraId="78D6F68A" w14:textId="77777777" w:rsidR="00042BA4" w:rsidRPr="00042BA4" w:rsidRDefault="00042BA4" w:rsidP="00042BA4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042BA4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69BD0D75" w14:textId="77777777" w:rsidR="00042BA4" w:rsidRPr="00042BA4" w:rsidRDefault="00042BA4" w:rsidP="00042BA4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042BA4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II - dar causa à inexecução total do contrato: período de até três anos.</w:t>
      </w:r>
    </w:p>
    <w:p w14:paraId="14BA2F21" w14:textId="77777777" w:rsidR="00042BA4" w:rsidRPr="00042BA4" w:rsidRDefault="00042BA4" w:rsidP="00042BA4">
      <w:pPr>
        <w:spacing w:before="0" w:after="0" w:line="288" w:lineRule="auto"/>
        <w:ind w:left="1701"/>
        <w:contextualSpacing/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</w:pPr>
      <w:r w:rsidRPr="00042BA4">
        <w:rPr>
          <w:rFonts w:asciiTheme="minorHAnsi" w:eastAsia="Times New Roman" w:hAnsiTheme="minorHAnsi" w:cstheme="minorHAnsi"/>
          <w:i/>
          <w:iCs/>
          <w:color w:val="FF0000"/>
          <w:sz w:val="20"/>
          <w:szCs w:val="24"/>
          <w:lang w:eastAsia="pt-BR"/>
        </w:rPr>
        <w:t>(…)</w:t>
      </w:r>
    </w:p>
    <w:p w14:paraId="67F55444" w14:textId="0B801A9C" w:rsidR="00042BA4" w:rsidRPr="00042BA4" w:rsidRDefault="00042BA4" w:rsidP="00042BA4">
      <w:pPr>
        <w:rPr>
          <w:i/>
          <w:iCs/>
          <w:color w:val="FF0000"/>
        </w:rPr>
      </w:pPr>
      <w:r w:rsidRPr="00042BA4">
        <w:rPr>
          <w:i/>
          <w:iCs/>
          <w:color w:val="FF0000"/>
        </w:rPr>
        <w:t>A inexecução total contratual evidencia a quebra da confiança essencial às relações mantidas entre a Administração e os particulares, comprometendo a previsibilidade e a continuidade do serviço público. A conduta omissiva da contratada revela descumprimento grave e injustificado, que fragiliza o interesse público e impõe resposta estatal proporcional à sua relevância</w:t>
      </w:r>
      <w:r w:rsidR="006F6060">
        <w:rPr>
          <w:i/>
          <w:iCs/>
          <w:color w:val="FF0000"/>
        </w:rPr>
        <w:t>.</w:t>
      </w:r>
    </w:p>
    <w:p w14:paraId="49AEABB0" w14:textId="6A378719" w:rsidR="00042BA4" w:rsidRPr="00042BA4" w:rsidRDefault="00042BA4" w:rsidP="00042BA4">
      <w:pPr>
        <w:rPr>
          <w:i/>
          <w:iCs/>
          <w:color w:val="FF0000"/>
        </w:rPr>
      </w:pPr>
      <w:r w:rsidRPr="00042BA4">
        <w:rPr>
          <w:i/>
          <w:iCs/>
          <w:color w:val="FF0000"/>
        </w:rPr>
        <w:t>Ademais, conforme preceitua o art. 15 do Decreto nº 433, de 2025, a aplicação das sanções deve observar os princípios da proporcionalidade, da razoabilidade, do contraditório e da ampla defesa, bem como a natureza da infração e os danos decorrentes para a Administração Pública, elementos todos devidamente considerados no presente caso</w:t>
      </w:r>
      <w:r w:rsidR="006F6060">
        <w:rPr>
          <w:i/>
          <w:iCs/>
          <w:color w:val="FF0000"/>
        </w:rPr>
        <w:t>.</w:t>
      </w:r>
    </w:p>
    <w:p w14:paraId="4CFD69DC" w14:textId="52BE338C" w:rsidR="00042BA4" w:rsidRPr="00042BA4" w:rsidRDefault="00042BA4" w:rsidP="00042BA4">
      <w:pPr>
        <w:rPr>
          <w:i/>
          <w:iCs/>
          <w:color w:val="FF0000"/>
        </w:rPr>
      </w:pPr>
      <w:r w:rsidRPr="00042BA4">
        <w:rPr>
          <w:i/>
          <w:iCs/>
          <w:color w:val="FF0000"/>
        </w:rPr>
        <w:t xml:space="preserve">Diante do exposto, e diante da materialidade e da autoria da infração administrativa, revela-se juridicamente cabível e proporcional a aplicação da penalidade de impedimento de licitar e </w:t>
      </w:r>
      <w:r w:rsidRPr="00042BA4">
        <w:rPr>
          <w:i/>
          <w:iCs/>
          <w:color w:val="FF0000"/>
        </w:rPr>
        <w:lastRenderedPageBreak/>
        <w:t>contratar com o Município, nos termos do art. 13, II do Decreto nº 433, de 2025, pelo prazo a ser definido conforme a gravidade da infração e os impactos causados à Administração</w:t>
      </w:r>
      <w:r w:rsidR="006F6060">
        <w:rPr>
          <w:i/>
          <w:iCs/>
          <w:color w:val="FF0000"/>
        </w:rPr>
        <w:t>.</w:t>
      </w:r>
    </w:p>
    <w:p w14:paraId="30D2FE7B" w14:textId="04A0DFAF" w:rsidR="00042BA4" w:rsidRPr="00042BA4" w:rsidRDefault="00042BA4" w:rsidP="00042BA4">
      <w:pPr>
        <w:rPr>
          <w:i/>
          <w:iCs/>
          <w:color w:val="FF0000"/>
        </w:rPr>
      </w:pPr>
      <w:r w:rsidRPr="00042BA4">
        <w:rPr>
          <w:i/>
          <w:iCs/>
          <w:color w:val="FF0000"/>
        </w:rPr>
        <w:t>Considerando a gravidade elevada da infração, o dano causado à Administração, a existência de uma circunstância atenuante (primariedade da empresa) e duas circunstâncias agravantes relevantes, entende-se proporcional e adequada a aplicação da penalidade de impedimento de licitar e contratar com o Município pelo prazo de 2 (dois) anos</w:t>
      </w:r>
      <w:r w:rsidR="006F6060">
        <w:rPr>
          <w:i/>
          <w:iCs/>
          <w:color w:val="FF0000"/>
        </w:rPr>
        <w:t>.</w:t>
      </w:r>
    </w:p>
    <w:p w14:paraId="12C26D42" w14:textId="09A8D980" w:rsidR="00042BA4" w:rsidRDefault="00042BA4" w:rsidP="00042BA4">
      <w:pPr>
        <w:rPr>
          <w:i/>
          <w:iCs/>
          <w:color w:val="FF0000"/>
        </w:rPr>
      </w:pPr>
      <w:r w:rsidRPr="00C939A9">
        <w:rPr>
          <w:i/>
          <w:iCs/>
          <w:color w:val="FF0000"/>
        </w:rPr>
        <w:t>Tal penalidade visa resguardar o interesse público, preservar a integridade do sistema de contratações e desestimular condutas que atentem contra a boa-fé e a eficiência na execução contratual</w:t>
      </w:r>
      <w:r w:rsidR="006F6060">
        <w:rPr>
          <w:i/>
          <w:iCs/>
          <w:color w:val="FF0000"/>
        </w:rPr>
        <w:t>.</w:t>
      </w:r>
    </w:p>
    <w:p w14:paraId="39230384" w14:textId="16916A18" w:rsidR="000F78BC" w:rsidRPr="00C939A9" w:rsidRDefault="000F78BC" w:rsidP="000F78BC">
      <w:pPr>
        <w:pStyle w:val="NotaExplicativa"/>
      </w:pPr>
      <w:r w:rsidRPr="000F78BC">
        <w:rPr>
          <w:rStyle w:val="DestaqueChar"/>
        </w:rPr>
        <w:t>Nota Explicativa:</w:t>
      </w:r>
      <w:r>
        <w:t xml:space="preserve"> A redação acima é meramente exemplificativa, devendo ser adequada conforme o caso concreto exigir.</w:t>
      </w:r>
    </w:p>
    <w:p w14:paraId="4993B9B4" w14:textId="42638F0D" w:rsidR="00215170" w:rsidRPr="00AD3B96" w:rsidRDefault="00215170" w:rsidP="00215170">
      <w:pPr>
        <w:rPr>
          <w:i/>
          <w:iCs/>
          <w:color w:val="0000FF"/>
        </w:rPr>
      </w:pPr>
      <w:r w:rsidRPr="00AD3B96">
        <w:rPr>
          <w:i/>
          <w:iCs/>
          <w:color w:val="0000FF"/>
        </w:rPr>
        <w:t xml:space="preserve">Ante o exposto, </w:t>
      </w:r>
      <w:r w:rsidR="00FD0744" w:rsidRPr="00AD3B96">
        <w:rPr>
          <w:i/>
          <w:iCs/>
          <w:color w:val="0000FF"/>
        </w:rPr>
        <w:t xml:space="preserve">julgo </w:t>
      </w:r>
      <w:r w:rsidR="00FD0744" w:rsidRPr="00AD3B96">
        <w:rPr>
          <w:rStyle w:val="DestaqueChar"/>
          <w:i/>
          <w:iCs/>
          <w:color w:val="0000FF"/>
        </w:rPr>
        <w:t>procedente</w:t>
      </w:r>
      <w:r w:rsidR="00FD0744" w:rsidRPr="00AD3B96">
        <w:rPr>
          <w:i/>
          <w:iCs/>
          <w:color w:val="0000FF"/>
        </w:rPr>
        <w:t xml:space="preserve"> o procedimento</w:t>
      </w:r>
      <w:r w:rsidRPr="00AD3B96">
        <w:rPr>
          <w:i/>
          <w:iCs/>
          <w:color w:val="0000FF"/>
        </w:rPr>
        <w:t xml:space="preserve"> </w:t>
      </w:r>
      <w:r w:rsidR="00FD0744" w:rsidRPr="00AD3B96">
        <w:rPr>
          <w:i/>
          <w:iCs/>
          <w:color w:val="0000FF"/>
        </w:rPr>
        <w:t>sancionatório e aplico as seguintes sanções</w:t>
      </w:r>
      <w:r w:rsidRPr="00AD3B96">
        <w:rPr>
          <w:i/>
          <w:iCs/>
          <w:color w:val="0000FF"/>
        </w:rPr>
        <w:t>:</w:t>
      </w:r>
    </w:p>
    <w:p w14:paraId="3BDE2336" w14:textId="6E9CA661" w:rsidR="00215170" w:rsidRPr="00AD3B96" w:rsidRDefault="00042BA4" w:rsidP="00215170">
      <w:pPr>
        <w:pStyle w:val="PargrafodaLista"/>
        <w:numPr>
          <w:ilvl w:val="0"/>
          <w:numId w:val="33"/>
        </w:numPr>
        <w:rPr>
          <w:i/>
          <w:iCs/>
          <w:color w:val="0000FF"/>
        </w:rPr>
      </w:pPr>
      <w:r w:rsidRPr="00042BA4">
        <w:rPr>
          <w:i/>
          <w:iCs/>
          <w:color w:val="0000FF"/>
        </w:rPr>
        <w:t>Impedimento de licitar e contratar com o Município</w:t>
      </w:r>
      <w:r>
        <w:rPr>
          <w:i/>
          <w:iCs/>
          <w:color w:val="0000FF"/>
        </w:rPr>
        <w:t xml:space="preserve"> pelo período de xxxxx</w:t>
      </w:r>
      <w:r w:rsidRPr="00042BA4">
        <w:rPr>
          <w:i/>
          <w:iCs/>
          <w:color w:val="0000FF"/>
        </w:rPr>
        <w:t>, nos termos do art. 13, II do Decreto Municipal nº 433, de 2025</w:t>
      </w:r>
      <w:r>
        <w:rPr>
          <w:i/>
          <w:iCs/>
          <w:color w:val="0000FF"/>
        </w:rPr>
        <w:t>;</w:t>
      </w:r>
    </w:p>
    <w:p w14:paraId="4CDCF817" w14:textId="77777777" w:rsidR="00655D2E" w:rsidRDefault="00C40091" w:rsidP="005505E6">
      <w:pPr>
        <w:pStyle w:val="PargrafodaLista"/>
        <w:numPr>
          <w:ilvl w:val="0"/>
          <w:numId w:val="33"/>
        </w:numPr>
        <w:rPr>
          <w:i/>
          <w:iCs/>
          <w:color w:val="0000FF"/>
        </w:rPr>
      </w:pPr>
      <w:r w:rsidRPr="00655D2E">
        <w:rPr>
          <w:i/>
          <w:iCs/>
          <w:color w:val="0000FF"/>
        </w:rPr>
        <w:t>Multa</w:t>
      </w:r>
      <w:r w:rsidR="00655D2E">
        <w:rPr>
          <w:i/>
          <w:iCs/>
          <w:color w:val="0000FF"/>
        </w:rPr>
        <w:t xml:space="preserve"> equivalente a R$ 0,00 (xxxxx), sendo R$ 0,00 (xxxx) referente a Autorização de Fornecimento nº xxxxx e R$ 0,00 (xxxx) referente a Autorização de Fornecimento nº xxxxx.</w:t>
      </w:r>
    </w:p>
    <w:p w14:paraId="2FCE89F7" w14:textId="77777777" w:rsidR="00C939A9" w:rsidRDefault="00C939A9" w:rsidP="00C939A9">
      <w:pPr>
        <w:pStyle w:val="OU"/>
      </w:pPr>
      <w:r>
        <w:t>Ou</w:t>
      </w:r>
    </w:p>
    <w:p w14:paraId="2BE8A05E" w14:textId="448F2DEA" w:rsidR="00215170" w:rsidRPr="00655D2E" w:rsidRDefault="00C40091" w:rsidP="00655D2E">
      <w:pPr>
        <w:pStyle w:val="PargrafodaLista"/>
        <w:numPr>
          <w:ilvl w:val="0"/>
          <w:numId w:val="35"/>
        </w:numPr>
        <w:rPr>
          <w:i/>
          <w:iCs/>
          <w:color w:val="0000FF"/>
        </w:rPr>
      </w:pPr>
      <w:r w:rsidRPr="00655D2E">
        <w:rPr>
          <w:i/>
          <w:iCs/>
          <w:color w:val="0000FF"/>
        </w:rPr>
        <w:t>Deixo de aplicar a multa por se tratar de valor irrisório</w:t>
      </w:r>
      <w:r w:rsidR="00655D2E" w:rsidRPr="00655D2E">
        <w:rPr>
          <w:i/>
          <w:iCs/>
          <w:color w:val="0000FF"/>
        </w:rPr>
        <w:t>, conforme fundamentação supra</w:t>
      </w:r>
      <w:r w:rsidR="00215170" w:rsidRPr="00655D2E">
        <w:rPr>
          <w:i/>
          <w:iCs/>
          <w:color w:val="0000FF"/>
        </w:rPr>
        <w:t>.</w:t>
      </w:r>
    </w:p>
    <w:p w14:paraId="440E7B2C" w14:textId="277C4659" w:rsidR="009553A5" w:rsidRDefault="009553A5" w:rsidP="009553A5">
      <w:pPr>
        <w:pStyle w:val="OU"/>
      </w:pPr>
      <w:bookmarkStart w:id="0" w:name="_Hlk207097441"/>
      <w:r>
        <w:t>Ou</w:t>
      </w:r>
    </w:p>
    <w:bookmarkEnd w:id="0"/>
    <w:p w14:paraId="40B6D962" w14:textId="7BF7CA50" w:rsidR="009553A5" w:rsidRDefault="009553A5" w:rsidP="009553A5">
      <w:pPr>
        <w:rPr>
          <w:i/>
          <w:iCs/>
          <w:color w:val="0000FF"/>
        </w:rPr>
      </w:pPr>
      <w:r w:rsidRPr="00AD3B96">
        <w:rPr>
          <w:i/>
          <w:iCs/>
          <w:color w:val="0000FF"/>
        </w:rPr>
        <w:t xml:space="preserve">Ante o exposto, julgo </w:t>
      </w:r>
      <w:r w:rsidRPr="00AD3B96">
        <w:rPr>
          <w:rStyle w:val="DestaqueChar"/>
          <w:i/>
          <w:iCs/>
          <w:color w:val="0000FF"/>
        </w:rPr>
        <w:t>improcedente</w:t>
      </w:r>
      <w:r w:rsidRPr="00AD3B96">
        <w:rPr>
          <w:i/>
          <w:iCs/>
          <w:color w:val="0000FF"/>
        </w:rPr>
        <w:t xml:space="preserve"> o procedimento sancionatório</w:t>
      </w:r>
      <w:r w:rsidR="00AD3B96" w:rsidRPr="00AD3B96">
        <w:rPr>
          <w:i/>
          <w:iCs/>
          <w:color w:val="0000FF"/>
        </w:rPr>
        <w:t>.</w:t>
      </w:r>
    </w:p>
    <w:p w14:paraId="6EA10D1C" w14:textId="77679996" w:rsidR="00F1676E" w:rsidRPr="001D1DA3" w:rsidRDefault="00F1676E" w:rsidP="00DF53CE">
      <w:pPr>
        <w:rPr>
          <w:rFonts w:cstheme="minorHAnsi"/>
        </w:rPr>
      </w:pPr>
      <w:r w:rsidRPr="001D1DA3">
        <w:rPr>
          <w:rFonts w:cstheme="minorHAnsi"/>
        </w:rPr>
        <w:t>Cumpra-se.</w:t>
      </w:r>
    </w:p>
    <w:p w14:paraId="1B421D09" w14:textId="77777777" w:rsidR="0008476A" w:rsidRPr="0008476A" w:rsidRDefault="0008476A" w:rsidP="0008476A">
      <w:pPr>
        <w:rPr>
          <w:rFonts w:eastAsia="Cambria" w:cs="Arial"/>
        </w:rPr>
      </w:pPr>
      <w:bookmarkStart w:id="1" w:name="_Hlk136877099"/>
      <w:r w:rsidRPr="0008476A">
        <w:rPr>
          <w:rFonts w:eastAsia="Cambria" w:cs="Arial"/>
        </w:rPr>
        <w:t xml:space="preserve">Irupi/ES, </w:t>
      </w:r>
      <w:r w:rsidRPr="00977444">
        <w:rPr>
          <w:rFonts w:eastAsia="Cambria" w:cs="Arial"/>
          <w:i/>
          <w:iCs/>
          <w:color w:val="FF0000"/>
        </w:rPr>
        <w:t>[dia]</w:t>
      </w:r>
      <w:r w:rsidRPr="0008476A">
        <w:rPr>
          <w:rFonts w:eastAsia="Cambria" w:cs="Arial"/>
          <w:color w:val="FF0000"/>
        </w:rPr>
        <w:t xml:space="preserve"> </w:t>
      </w:r>
      <w:r w:rsidRPr="0008476A">
        <w:rPr>
          <w:rFonts w:eastAsia="Cambria" w:cs="Arial"/>
        </w:rPr>
        <w:t xml:space="preserve">de </w:t>
      </w:r>
      <w:r w:rsidRPr="00977444">
        <w:rPr>
          <w:rFonts w:eastAsia="Cambria" w:cs="Arial"/>
          <w:i/>
          <w:iCs/>
          <w:color w:val="FF0000"/>
        </w:rPr>
        <w:t>[mês]</w:t>
      </w:r>
      <w:r w:rsidRPr="0008476A">
        <w:rPr>
          <w:rFonts w:eastAsia="Cambria" w:cs="Arial"/>
          <w:color w:val="FF0000"/>
        </w:rPr>
        <w:t xml:space="preserve"> </w:t>
      </w:r>
      <w:r w:rsidRPr="0008476A">
        <w:rPr>
          <w:rFonts w:eastAsia="Cambria" w:cs="Arial"/>
        </w:rPr>
        <w:t xml:space="preserve">de </w:t>
      </w:r>
      <w:r w:rsidRPr="00977444">
        <w:rPr>
          <w:rFonts w:eastAsia="Cambria" w:cs="Arial"/>
          <w:i/>
          <w:iCs/>
          <w:color w:val="FF0000"/>
        </w:rPr>
        <w:t>[ano]</w:t>
      </w:r>
      <w:r w:rsidRPr="0008476A">
        <w:rPr>
          <w:rFonts w:eastAsia="Cambria" w:cs="Arial"/>
        </w:rPr>
        <w:t>.</w:t>
      </w:r>
    </w:p>
    <w:bookmarkEnd w:id="1"/>
    <w:p w14:paraId="375C738F" w14:textId="77777777" w:rsidR="00F1676E" w:rsidRPr="001D1DA3" w:rsidRDefault="00F1676E" w:rsidP="005A0DEA">
      <w:pPr>
        <w:rPr>
          <w:rFonts w:cstheme="minorHAnsi"/>
        </w:rPr>
      </w:pPr>
    </w:p>
    <w:p w14:paraId="68D07377" w14:textId="77777777" w:rsidR="00C3136E" w:rsidRPr="001D1DA3" w:rsidRDefault="00C3136E" w:rsidP="00C3136E">
      <w:pPr>
        <w:pStyle w:val="Nvel1-Ttulo2-Azul"/>
        <w:ind w:left="0"/>
        <w:contextualSpacing/>
        <w:jc w:val="center"/>
      </w:pPr>
      <w:r>
        <w:lastRenderedPageBreak/>
        <w:t>xxxxxxx</w:t>
      </w:r>
    </w:p>
    <w:p w14:paraId="1FEA89DA" w14:textId="77777777" w:rsidR="00C3136E" w:rsidRDefault="00C3136E" w:rsidP="00C3136E">
      <w:pPr>
        <w:pStyle w:val="Nvel1-Ttulo2-Azul"/>
        <w:ind w:left="0"/>
        <w:contextualSpacing/>
        <w:jc w:val="center"/>
      </w:pPr>
      <w:r>
        <w:t>Subsecretário de Compras Públicas</w:t>
      </w:r>
    </w:p>
    <w:p w14:paraId="03B74013" w14:textId="77777777" w:rsidR="00C3136E" w:rsidRDefault="00C3136E" w:rsidP="00C3136E">
      <w:pPr>
        <w:pStyle w:val="OU"/>
      </w:pPr>
      <w:r>
        <w:t>ou</w:t>
      </w:r>
    </w:p>
    <w:p w14:paraId="2821BE25" w14:textId="77777777" w:rsidR="00C3136E" w:rsidRPr="001D1DA3" w:rsidRDefault="00C3136E" w:rsidP="00C3136E">
      <w:pPr>
        <w:pStyle w:val="Nvel1-Ttulo2-Azul"/>
        <w:ind w:left="0"/>
        <w:contextualSpacing/>
        <w:jc w:val="center"/>
      </w:pPr>
      <w:r>
        <w:t>xxxxxxx</w:t>
      </w:r>
    </w:p>
    <w:p w14:paraId="31884F7C" w14:textId="77777777" w:rsidR="00C3136E" w:rsidRDefault="00C3136E" w:rsidP="00C3136E">
      <w:pPr>
        <w:pStyle w:val="Nvel1-Ttulo2-Azul"/>
        <w:ind w:left="0"/>
        <w:contextualSpacing/>
        <w:jc w:val="center"/>
      </w:pPr>
      <w:r>
        <w:t>Secretário Municipal de Administração e Planejamento</w:t>
      </w:r>
    </w:p>
    <w:p w14:paraId="06255620" w14:textId="698D3252" w:rsidR="00215170" w:rsidRPr="00C3136E" w:rsidRDefault="00215170" w:rsidP="00C3136E">
      <w:pPr>
        <w:pStyle w:val="Nome"/>
        <w:ind w:left="0"/>
        <w:rPr>
          <w:rFonts w:ascii="Calibri" w:hAnsi="Calibri" w:cs="Calibri"/>
          <w:b/>
          <w:bCs/>
          <w:i/>
          <w:iCs/>
        </w:rPr>
      </w:pPr>
    </w:p>
    <w:sectPr w:rsidR="00215170" w:rsidRPr="00C3136E" w:rsidSect="00D4115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C56E13" w14:textId="77777777" w:rsidR="00DF7C59" w:rsidRDefault="00DF7C59" w:rsidP="002C662C">
      <w:pPr>
        <w:spacing w:after="0" w:line="240" w:lineRule="auto"/>
      </w:pPr>
      <w:r>
        <w:separator/>
      </w:r>
    </w:p>
  </w:endnote>
  <w:endnote w:type="continuationSeparator" w:id="0">
    <w:p w14:paraId="04FC3DD6" w14:textId="77777777" w:rsidR="00DF7C59" w:rsidRDefault="00DF7C59" w:rsidP="002C6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SemiBold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0AAD25" w14:textId="77777777" w:rsidR="00C3136E" w:rsidRDefault="00C3136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F1976D" w14:textId="46E5441B" w:rsidR="00FA1463" w:rsidRDefault="00FA1463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2" w:name="_Hlk180539419"/>
    <w:bookmarkStart w:id="3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A24C72B" wp14:editId="5FF98500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5220753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C3136E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</w:t>
    </w:r>
    <w:r w:rsidR="00C3136E">
      <w:rPr>
        <w:rFonts w:cs="Calibri"/>
        <w:sz w:val="20"/>
        <w:szCs w:val="20"/>
      </w:rPr>
      <w:t>2026</w:t>
    </w:r>
  </w:p>
  <w:bookmarkEnd w:id="2"/>
  <w:bookmarkEnd w:id="3"/>
  <w:p w14:paraId="1E89B1D4" w14:textId="2C3208F8" w:rsidR="00FA1463" w:rsidRPr="00FA1463" w:rsidRDefault="00FA1463" w:rsidP="00FA1463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>Modelo Decisão Administrativa</w:t>
    </w:r>
    <w:r w:rsidR="00C3136E">
      <w:rPr>
        <w:rFonts w:cs="Calibri"/>
        <w:sz w:val="20"/>
        <w:szCs w:val="20"/>
      </w:rPr>
      <w:t xml:space="preserve"> - 1ª Instância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1A3E0" w14:textId="77777777" w:rsidR="00C3136E" w:rsidRDefault="00C3136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FDAFB2" w14:textId="77777777" w:rsidR="00DF7C59" w:rsidRDefault="00DF7C59" w:rsidP="002C662C">
      <w:pPr>
        <w:spacing w:after="0" w:line="240" w:lineRule="auto"/>
      </w:pPr>
      <w:r>
        <w:separator/>
      </w:r>
    </w:p>
  </w:footnote>
  <w:footnote w:type="continuationSeparator" w:id="0">
    <w:p w14:paraId="7ED01D6A" w14:textId="77777777" w:rsidR="00DF7C59" w:rsidRDefault="00DF7C59" w:rsidP="002C66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5387C1" w14:textId="77777777" w:rsidR="00C3136E" w:rsidRDefault="00C3136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910A2A" w14:textId="77777777" w:rsidR="00C3136E" w:rsidRDefault="00C3136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420E01" w14:textId="77777777" w:rsidR="00C3136E" w:rsidRDefault="00C313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2094825"/>
    <w:multiLevelType w:val="multilevel"/>
    <w:tmpl w:val="57C0D33A"/>
    <w:lvl w:ilvl="0">
      <w:start w:val="1"/>
      <w:numFmt w:val="ordinal"/>
      <w:suff w:val="space"/>
      <w:lvlText w:val="§ %1"/>
      <w:lvlJc w:val="left"/>
      <w:pPr>
        <w:ind w:left="0" w:firstLine="56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" w15:restartNumberingAfterBreak="0">
    <w:nsid w:val="02A17B1B"/>
    <w:multiLevelType w:val="hybridMultilevel"/>
    <w:tmpl w:val="D0AC1720"/>
    <w:lvl w:ilvl="0" w:tplc="6ABAD8B8">
      <w:start w:val="10"/>
      <w:numFmt w:val="decimal"/>
      <w:pStyle w:val="10"/>
      <w:suff w:val="space"/>
      <w:lvlText w:val="§ %1"/>
      <w:lvlJc w:val="left"/>
      <w:pPr>
        <w:ind w:left="0" w:firstLine="567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4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83F13A4"/>
    <w:multiLevelType w:val="multilevel"/>
    <w:tmpl w:val="A1CC85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6" w15:restartNumberingAfterBreak="0">
    <w:nsid w:val="104C668B"/>
    <w:multiLevelType w:val="multilevel"/>
    <w:tmpl w:val="99EEC7BE"/>
    <w:lvl w:ilvl="0">
      <w:start w:val="1"/>
      <w:numFmt w:val="ordinal"/>
      <w:suff w:val="space"/>
      <w:lvlText w:val="§ %1 "/>
      <w:lvlJc w:val="left"/>
      <w:pPr>
        <w:ind w:left="0" w:firstLine="567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7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182E496C"/>
    <w:multiLevelType w:val="multilevel"/>
    <w:tmpl w:val="B5A07110"/>
    <w:lvl w:ilvl="0">
      <w:start w:val="1"/>
      <w:numFmt w:val="ordinal"/>
      <w:suff w:val="space"/>
      <w:lvlText w:val="§ %1 "/>
      <w:lvlJc w:val="left"/>
      <w:pPr>
        <w:ind w:left="0" w:firstLine="567"/>
      </w:pPr>
      <w:rPr>
        <w:rFonts w:ascii="Segoe UI Semibold" w:hAnsi="Segoe UI Semibold" w:hint="default"/>
        <w:b w:val="0"/>
        <w:i w:val="0"/>
        <w:color w:val="auto"/>
        <w:sz w:val="24"/>
        <w:u w:color="FFFFFF" w:themeColor="background1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9" w15:restartNumberingAfterBreak="0">
    <w:nsid w:val="1A0E50C1"/>
    <w:multiLevelType w:val="multilevel"/>
    <w:tmpl w:val="A1CC85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0" w15:restartNumberingAfterBreak="0">
    <w:nsid w:val="1D5C100D"/>
    <w:multiLevelType w:val="multilevel"/>
    <w:tmpl w:val="A8DED2B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 w:val="0"/>
        <w:color w:val="FFFFFF"/>
      </w:rPr>
    </w:lvl>
    <w:lvl w:ilvl="1">
      <w:start w:val="1"/>
      <w:numFmt w:val="decimal"/>
      <w:pStyle w:val="Nivel2"/>
      <w:suff w:val="space"/>
      <w:lvlText w:val="%1.%2."/>
      <w:lvlJc w:val="left"/>
      <w:pPr>
        <w:ind w:left="0" w:firstLine="0"/>
      </w:pPr>
      <w:rPr>
        <w:rFonts w:ascii="Aptos" w:hAnsi="Aptos" w:cs="Calibri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pStyle w:val="Nivel3"/>
      <w:suff w:val="space"/>
      <w:lvlText w:val="%1.%2.%3."/>
      <w:lvlJc w:val="left"/>
      <w:pPr>
        <w:ind w:left="567" w:firstLine="0"/>
      </w:pPr>
    </w:lvl>
    <w:lvl w:ilvl="3">
      <w:start w:val="1"/>
      <w:numFmt w:val="decimal"/>
      <w:pStyle w:val="Ni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i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0A22413"/>
    <w:multiLevelType w:val="hybridMultilevel"/>
    <w:tmpl w:val="A4DADA16"/>
    <w:lvl w:ilvl="0" w:tplc="2CCE63EC">
      <w:start w:val="10"/>
      <w:numFmt w:val="decimal"/>
      <w:pStyle w:val="Art10"/>
      <w:suff w:val="space"/>
      <w:lvlText w:val="Art. %1 "/>
      <w:lvlJc w:val="left"/>
      <w:pPr>
        <w:ind w:left="0" w:firstLine="567"/>
      </w:pPr>
      <w:rPr>
        <w:rFonts w:ascii="Aptos SemiBold" w:hAnsi="Aptos SemiBold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E271FF"/>
    <w:multiLevelType w:val="hybridMultilevel"/>
    <w:tmpl w:val="94621F9A"/>
    <w:lvl w:ilvl="0" w:tplc="A516C5B0">
      <w:start w:val="1"/>
      <w:numFmt w:val="ordinal"/>
      <w:pStyle w:val="Art1ao9"/>
      <w:suff w:val="nothing"/>
      <w:lvlText w:val="Art. %1 "/>
      <w:lvlJc w:val="left"/>
      <w:pPr>
        <w:ind w:left="0" w:firstLine="567"/>
      </w:pPr>
      <w:rPr>
        <w:rFonts w:ascii="Aptos SemiBold" w:hAnsi="Aptos SemiBold"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2985033F"/>
    <w:multiLevelType w:val="hybridMultilevel"/>
    <w:tmpl w:val="5328B17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066A33"/>
    <w:multiLevelType w:val="hybridMultilevel"/>
    <w:tmpl w:val="EA2AE3EA"/>
    <w:lvl w:ilvl="0" w:tplc="A56EE112">
      <w:start w:val="1"/>
      <w:numFmt w:val="ordinal"/>
      <w:lvlText w:val="§ %1 "/>
      <w:lvlJc w:val="left"/>
      <w:pPr>
        <w:ind w:left="1287" w:hanging="360"/>
      </w:pPr>
      <w:rPr>
        <w:rFonts w:ascii="Segoe UI Semibold" w:hAnsi="Segoe UI Semibold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90E06AD"/>
    <w:multiLevelType w:val="hybridMultilevel"/>
    <w:tmpl w:val="A8124CA6"/>
    <w:lvl w:ilvl="0" w:tplc="320070BE">
      <w:start w:val="10"/>
      <w:numFmt w:val="decimal"/>
      <w:suff w:val="nothing"/>
      <w:lvlText w:val="Art. %1 "/>
      <w:lvlJc w:val="left"/>
      <w:pPr>
        <w:ind w:left="0" w:firstLine="567"/>
      </w:pPr>
      <w:rPr>
        <w:rFonts w:ascii="Aptos SemiBold" w:hAnsi="Aptos SemiBold" w:hint="default"/>
        <w:b w:val="0"/>
        <w:i w:val="0"/>
        <w:color w:val="auto"/>
        <w:sz w:val="24"/>
        <w:u w:color="FFFFFF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9E4386"/>
    <w:multiLevelType w:val="hybridMultilevel"/>
    <w:tmpl w:val="6D9C8E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556AB"/>
    <w:multiLevelType w:val="multilevel"/>
    <w:tmpl w:val="2A9288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98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20" w15:restartNumberingAfterBreak="0">
    <w:nsid w:val="4B91369A"/>
    <w:multiLevelType w:val="hybridMultilevel"/>
    <w:tmpl w:val="99247E28"/>
    <w:lvl w:ilvl="0" w:tplc="F2089CC6">
      <w:start w:val="1"/>
      <w:numFmt w:val="ordinal"/>
      <w:suff w:val="nothing"/>
      <w:lvlText w:val="§ %1 "/>
      <w:lvlJc w:val="left"/>
      <w:pPr>
        <w:ind w:left="0" w:firstLine="567"/>
      </w:pPr>
      <w:rPr>
        <w:rFonts w:ascii="Aptos" w:hAnsi="Aptos" w:hint="default"/>
        <w:b w:val="0"/>
        <w:i w:val="0"/>
        <w:color w:val="auto"/>
        <w:sz w:val="24"/>
        <w:u w:color="FFFFFF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4E7D5ADA"/>
    <w:multiLevelType w:val="hybridMultilevel"/>
    <w:tmpl w:val="2A06733E"/>
    <w:lvl w:ilvl="0" w:tplc="05AE2E28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4529CD"/>
    <w:multiLevelType w:val="hybridMultilevel"/>
    <w:tmpl w:val="CA20BDC4"/>
    <w:lvl w:ilvl="0" w:tplc="8E20D8A4">
      <w:start w:val="1"/>
      <w:numFmt w:val="lowerLetter"/>
      <w:pStyle w:val="Alineas"/>
      <w:suff w:val="space"/>
      <w:lvlText w:val="%1)"/>
      <w:lvlJc w:val="left"/>
      <w:pPr>
        <w:ind w:left="0" w:firstLine="567"/>
      </w:pPr>
      <w:rPr>
        <w:rFonts w:asciiTheme="minorHAnsi" w:hAnsiTheme="minorHAnsi" w:hint="default"/>
        <w:b w:val="0"/>
        <w:i/>
        <w:sz w:val="24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591E1AAE"/>
    <w:multiLevelType w:val="hybridMultilevel"/>
    <w:tmpl w:val="7F30DB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664139"/>
    <w:multiLevelType w:val="hybridMultilevel"/>
    <w:tmpl w:val="46384EDC"/>
    <w:lvl w:ilvl="0" w:tplc="E64CB870">
      <w:start w:val="1"/>
      <w:numFmt w:val="upperLetter"/>
      <w:lvlText w:val="%1)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5" w15:restartNumberingAfterBreak="0">
    <w:nsid w:val="5EEF4ABA"/>
    <w:multiLevelType w:val="hybridMultilevel"/>
    <w:tmpl w:val="FC8AE078"/>
    <w:lvl w:ilvl="0" w:tplc="82C2DAA4">
      <w:start w:val="10"/>
      <w:numFmt w:val="decimal"/>
      <w:lvlText w:val="Art. %1 "/>
      <w:lvlJc w:val="left"/>
      <w:pPr>
        <w:ind w:left="1287" w:hanging="360"/>
      </w:pPr>
      <w:rPr>
        <w:rFonts w:ascii="Aptos SemiBold" w:hAnsi="Aptos SemiBold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340656C"/>
    <w:multiLevelType w:val="hybridMultilevel"/>
    <w:tmpl w:val="078E538E"/>
    <w:lvl w:ilvl="0" w:tplc="E4427178">
      <w:start w:val="1"/>
      <w:numFmt w:val="ordinal"/>
      <w:suff w:val="nothing"/>
      <w:lvlText w:val="Art. %1 "/>
      <w:lvlJc w:val="left"/>
      <w:pPr>
        <w:ind w:left="0" w:firstLine="567"/>
      </w:pPr>
      <w:rPr>
        <w:rFonts w:ascii="Aptos SemiBold" w:hAnsi="Aptos SemiBold" w:hint="default"/>
        <w:b w:val="0"/>
        <w:i w:val="0"/>
        <w:color w:val="auto"/>
        <w:sz w:val="24"/>
        <w:u w:color="FFFFFF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7055308E"/>
    <w:multiLevelType w:val="hybridMultilevel"/>
    <w:tmpl w:val="E6C0E31C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75551A3F"/>
    <w:multiLevelType w:val="hybridMultilevel"/>
    <w:tmpl w:val="8E7EF91C"/>
    <w:lvl w:ilvl="0" w:tplc="6EE260B0">
      <w:start w:val="1"/>
      <w:numFmt w:val="upperRoman"/>
      <w:pStyle w:val="Incisos"/>
      <w:suff w:val="space"/>
      <w:lvlText w:val="%1 -"/>
      <w:lvlJc w:val="left"/>
      <w:pPr>
        <w:ind w:left="0" w:firstLine="567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788731C4"/>
    <w:multiLevelType w:val="hybridMultilevel"/>
    <w:tmpl w:val="DD24545A"/>
    <w:lvl w:ilvl="0" w:tplc="24AC2A92">
      <w:start w:val="1"/>
      <w:numFmt w:val="ordinal"/>
      <w:pStyle w:val="1ao9"/>
      <w:suff w:val="nothing"/>
      <w:lvlText w:val="§ %1 "/>
      <w:lvlJc w:val="left"/>
      <w:pPr>
        <w:ind w:left="0" w:firstLine="567"/>
      </w:pPr>
      <w:rPr>
        <w:rFonts w:ascii="Aptos" w:hAnsi="Aptos" w:hint="default"/>
        <w:b w:val="0"/>
        <w:i w:val="0"/>
        <w:color w:val="auto"/>
        <w:sz w:val="24"/>
        <w:u w:color="FFFFFF" w:themeColor="background1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7CD42881"/>
    <w:multiLevelType w:val="hybridMultilevel"/>
    <w:tmpl w:val="7856F382"/>
    <w:lvl w:ilvl="0" w:tplc="5D26FA04">
      <w:start w:val="1"/>
      <w:numFmt w:val="decimal"/>
      <w:pStyle w:val="Itens"/>
      <w:lvlText w:val="%1.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692267240">
    <w:abstractNumId w:val="23"/>
  </w:num>
  <w:num w:numId="2" w16cid:durableId="483359206">
    <w:abstractNumId w:val="14"/>
  </w:num>
  <w:num w:numId="3" w16cid:durableId="360981182">
    <w:abstractNumId w:val="9"/>
  </w:num>
  <w:num w:numId="4" w16cid:durableId="1540243968">
    <w:abstractNumId w:val="5"/>
  </w:num>
  <w:num w:numId="5" w16cid:durableId="1866405070">
    <w:abstractNumId w:val="19"/>
  </w:num>
  <w:num w:numId="6" w16cid:durableId="289941736">
    <w:abstractNumId w:val="24"/>
  </w:num>
  <w:num w:numId="7" w16cid:durableId="1758943308">
    <w:abstractNumId w:val="11"/>
  </w:num>
  <w:num w:numId="8" w16cid:durableId="1170604623">
    <w:abstractNumId w:val="26"/>
  </w:num>
  <w:num w:numId="9" w16cid:durableId="1709911480">
    <w:abstractNumId w:val="22"/>
  </w:num>
  <w:num w:numId="10" w16cid:durableId="1621917411">
    <w:abstractNumId w:val="30"/>
  </w:num>
  <w:num w:numId="11" w16cid:durableId="1754619529">
    <w:abstractNumId w:val="1"/>
  </w:num>
  <w:num w:numId="12" w16cid:durableId="840123747">
    <w:abstractNumId w:val="10"/>
  </w:num>
  <w:num w:numId="13" w16cid:durableId="1679312590">
    <w:abstractNumId w:val="2"/>
  </w:num>
  <w:num w:numId="14" w16cid:durableId="1769352643">
    <w:abstractNumId w:val="32"/>
  </w:num>
  <w:num w:numId="15" w16cid:durableId="1229455861">
    <w:abstractNumId w:val="6"/>
  </w:num>
  <w:num w:numId="16" w16cid:durableId="2070104582">
    <w:abstractNumId w:val="15"/>
  </w:num>
  <w:num w:numId="17" w16cid:durableId="1526291031">
    <w:abstractNumId w:val="8"/>
  </w:num>
  <w:num w:numId="18" w16cid:durableId="1472795809">
    <w:abstractNumId w:val="20"/>
  </w:num>
  <w:num w:numId="19" w16cid:durableId="1323503447">
    <w:abstractNumId w:val="25"/>
  </w:num>
  <w:num w:numId="20" w16cid:durableId="1803495003">
    <w:abstractNumId w:val="16"/>
  </w:num>
  <w:num w:numId="21" w16cid:durableId="1178927437">
    <w:abstractNumId w:val="12"/>
  </w:num>
  <w:num w:numId="22" w16cid:durableId="1894921539">
    <w:abstractNumId w:val="31"/>
  </w:num>
  <w:num w:numId="23" w16cid:durableId="1658532576">
    <w:abstractNumId w:val="3"/>
  </w:num>
  <w:num w:numId="24" w16cid:durableId="611400980">
    <w:abstractNumId w:val="3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5" w16cid:durableId="1578706062">
    <w:abstractNumId w:val="3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26" w16cid:durableId="1468812266">
    <w:abstractNumId w:val="7"/>
  </w:num>
  <w:num w:numId="27" w16cid:durableId="1750536717">
    <w:abstractNumId w:val="17"/>
  </w:num>
  <w:num w:numId="28" w16cid:durableId="762997873">
    <w:abstractNumId w:val="28"/>
  </w:num>
  <w:num w:numId="29" w16cid:durableId="1310138536">
    <w:abstractNumId w:val="4"/>
  </w:num>
  <w:num w:numId="30" w16cid:durableId="519441631">
    <w:abstractNumId w:val="0"/>
  </w:num>
  <w:num w:numId="31" w16cid:durableId="1760253285">
    <w:abstractNumId w:val="29"/>
  </w:num>
  <w:num w:numId="32" w16cid:durableId="1868179161">
    <w:abstractNumId w:val="13"/>
  </w:num>
  <w:num w:numId="33" w16cid:durableId="1618293398">
    <w:abstractNumId w:val="27"/>
  </w:num>
  <w:num w:numId="34" w16cid:durableId="870605911">
    <w:abstractNumId w:val="18"/>
  </w:num>
  <w:num w:numId="35" w16cid:durableId="9648758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ttachedTemplate r:id="rId1"/>
  <w:linkStyle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4F89"/>
    <w:rsid w:val="00042BA4"/>
    <w:rsid w:val="00051362"/>
    <w:rsid w:val="0008142A"/>
    <w:rsid w:val="0008476A"/>
    <w:rsid w:val="00094007"/>
    <w:rsid w:val="0009416D"/>
    <w:rsid w:val="000D5E6A"/>
    <w:rsid w:val="000D6E59"/>
    <w:rsid w:val="000E37A9"/>
    <w:rsid w:val="000F78BC"/>
    <w:rsid w:val="0012296A"/>
    <w:rsid w:val="00122BFF"/>
    <w:rsid w:val="00143842"/>
    <w:rsid w:val="0014592D"/>
    <w:rsid w:val="00146905"/>
    <w:rsid w:val="001A3427"/>
    <w:rsid w:val="001B1030"/>
    <w:rsid w:val="001C0F0D"/>
    <w:rsid w:val="001D1DA3"/>
    <w:rsid w:val="001E4A4E"/>
    <w:rsid w:val="001F0CFA"/>
    <w:rsid w:val="002132EA"/>
    <w:rsid w:val="00215170"/>
    <w:rsid w:val="00221F96"/>
    <w:rsid w:val="00231986"/>
    <w:rsid w:val="0027743F"/>
    <w:rsid w:val="00287C59"/>
    <w:rsid w:val="002A4749"/>
    <w:rsid w:val="002C2D19"/>
    <w:rsid w:val="002C662C"/>
    <w:rsid w:val="00306ABE"/>
    <w:rsid w:val="00312BE8"/>
    <w:rsid w:val="00345C6D"/>
    <w:rsid w:val="00370CBA"/>
    <w:rsid w:val="00392051"/>
    <w:rsid w:val="003C4862"/>
    <w:rsid w:val="003E0D9E"/>
    <w:rsid w:val="003E2D92"/>
    <w:rsid w:val="003F41E8"/>
    <w:rsid w:val="00430E46"/>
    <w:rsid w:val="004465F7"/>
    <w:rsid w:val="00453E91"/>
    <w:rsid w:val="00476AA5"/>
    <w:rsid w:val="004E7D01"/>
    <w:rsid w:val="00543B6A"/>
    <w:rsid w:val="005612F8"/>
    <w:rsid w:val="00570E03"/>
    <w:rsid w:val="005A0DEA"/>
    <w:rsid w:val="005B6132"/>
    <w:rsid w:val="005E251F"/>
    <w:rsid w:val="00630DF1"/>
    <w:rsid w:val="00655D2E"/>
    <w:rsid w:val="006618D7"/>
    <w:rsid w:val="00690404"/>
    <w:rsid w:val="006A5BBA"/>
    <w:rsid w:val="006B3F2D"/>
    <w:rsid w:val="006F6060"/>
    <w:rsid w:val="0070004A"/>
    <w:rsid w:val="00726CA0"/>
    <w:rsid w:val="00755F49"/>
    <w:rsid w:val="007649DF"/>
    <w:rsid w:val="007C3173"/>
    <w:rsid w:val="007C3BB2"/>
    <w:rsid w:val="007E78EB"/>
    <w:rsid w:val="00881E9C"/>
    <w:rsid w:val="00886331"/>
    <w:rsid w:val="008D3D92"/>
    <w:rsid w:val="008E4986"/>
    <w:rsid w:val="00912DEF"/>
    <w:rsid w:val="009231B6"/>
    <w:rsid w:val="00946C64"/>
    <w:rsid w:val="009553A5"/>
    <w:rsid w:val="00965C5C"/>
    <w:rsid w:val="00977444"/>
    <w:rsid w:val="0099147D"/>
    <w:rsid w:val="009B1EAA"/>
    <w:rsid w:val="009E5800"/>
    <w:rsid w:val="00A1192A"/>
    <w:rsid w:val="00A262D8"/>
    <w:rsid w:val="00A41E67"/>
    <w:rsid w:val="00A7427D"/>
    <w:rsid w:val="00AC71C8"/>
    <w:rsid w:val="00AD3B96"/>
    <w:rsid w:val="00AD680B"/>
    <w:rsid w:val="00AF5950"/>
    <w:rsid w:val="00B07D1F"/>
    <w:rsid w:val="00B246BD"/>
    <w:rsid w:val="00B85DB5"/>
    <w:rsid w:val="00BA4F89"/>
    <w:rsid w:val="00BB2858"/>
    <w:rsid w:val="00BC0656"/>
    <w:rsid w:val="00BC17F9"/>
    <w:rsid w:val="00BF243F"/>
    <w:rsid w:val="00C01610"/>
    <w:rsid w:val="00C15A3F"/>
    <w:rsid w:val="00C23D9A"/>
    <w:rsid w:val="00C3136E"/>
    <w:rsid w:val="00C40091"/>
    <w:rsid w:val="00C507FB"/>
    <w:rsid w:val="00C61CF3"/>
    <w:rsid w:val="00C71A15"/>
    <w:rsid w:val="00C939A9"/>
    <w:rsid w:val="00CF7397"/>
    <w:rsid w:val="00D22E66"/>
    <w:rsid w:val="00D409FA"/>
    <w:rsid w:val="00D41154"/>
    <w:rsid w:val="00D42915"/>
    <w:rsid w:val="00D43B43"/>
    <w:rsid w:val="00D610E9"/>
    <w:rsid w:val="00DA1F39"/>
    <w:rsid w:val="00DB1D85"/>
    <w:rsid w:val="00DF53CE"/>
    <w:rsid w:val="00DF7C59"/>
    <w:rsid w:val="00E22F51"/>
    <w:rsid w:val="00E528D4"/>
    <w:rsid w:val="00E55D34"/>
    <w:rsid w:val="00E565D6"/>
    <w:rsid w:val="00EB452F"/>
    <w:rsid w:val="00ED0E8A"/>
    <w:rsid w:val="00EE12FD"/>
    <w:rsid w:val="00EF3916"/>
    <w:rsid w:val="00F10CD8"/>
    <w:rsid w:val="00F14504"/>
    <w:rsid w:val="00F1676E"/>
    <w:rsid w:val="00F50A27"/>
    <w:rsid w:val="00F60813"/>
    <w:rsid w:val="00F61D59"/>
    <w:rsid w:val="00F82315"/>
    <w:rsid w:val="00FA1463"/>
    <w:rsid w:val="00FD0744"/>
    <w:rsid w:val="00FE2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9D7B2"/>
  <w15:chartTrackingRefBased/>
  <w15:docId w15:val="{A029857E-1CF1-4439-BAA7-FF44CFDC2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DB5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B85D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B85D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85D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85D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85D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85D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85D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85D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85D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B85DB5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B85DB5"/>
  </w:style>
  <w:style w:type="paragraph" w:styleId="PargrafodaLista">
    <w:name w:val="List Paragraph"/>
    <w:basedOn w:val="Normal"/>
    <w:uiPriority w:val="34"/>
    <w:rsid w:val="00B85DB5"/>
    <w:pPr>
      <w:ind w:left="720"/>
      <w:contextualSpacing/>
    </w:pPr>
  </w:style>
  <w:style w:type="paragraph" w:styleId="SemEspaamento">
    <w:name w:val="No Spacing"/>
    <w:uiPriority w:val="1"/>
    <w:qFormat/>
    <w:rsid w:val="00B85DB5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styleId="Cabealho">
    <w:name w:val="header"/>
    <w:basedOn w:val="Normal"/>
    <w:link w:val="CabealhoChar"/>
    <w:uiPriority w:val="99"/>
    <w:unhideWhenUsed/>
    <w:rsid w:val="00B85D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85DB5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B85DB5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B85DB5"/>
    <w:rPr>
      <w:rFonts w:ascii="Calibri" w:hAnsi="Calibri"/>
    </w:rPr>
  </w:style>
  <w:style w:type="paragraph" w:styleId="Corpodetexto">
    <w:name w:val="Body Text"/>
    <w:basedOn w:val="Normal"/>
    <w:link w:val="CorpodetextoChar"/>
    <w:rsid w:val="002C662C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C662C"/>
    <w:rPr>
      <w:rFonts w:ascii="Times New Roman" w:eastAsia="Times New Roman" w:hAnsi="Times New Roman" w:cs="Times New Roman"/>
      <w:szCs w:val="20"/>
      <w:shd w:val="clear" w:color="auto" w:fill="FFFFFF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B85DB5"/>
    <w:rPr>
      <w:rFonts w:ascii="Calibri" w:eastAsiaTheme="majorEastAsia" w:hAnsi="Calibri" w:cstheme="majorBidi"/>
      <w:i/>
      <w:iCs/>
      <w:color w:val="2F5496" w:themeColor="accent1" w:themeShade="BF"/>
      <w:sz w:val="24"/>
    </w:rPr>
  </w:style>
  <w:style w:type="character" w:customStyle="1" w:styleId="NormalWebChar">
    <w:name w:val="Normal (Web) Char"/>
    <w:link w:val="NormalWeb"/>
    <w:uiPriority w:val="99"/>
    <w:semiHidden/>
    <w:locked/>
    <w:rsid w:val="00D42915"/>
    <w:rPr>
      <w:sz w:val="24"/>
      <w:szCs w:val="24"/>
      <w:lang w:eastAsia="ar-SA"/>
    </w:rPr>
  </w:style>
  <w:style w:type="paragraph" w:styleId="NormalWeb">
    <w:name w:val="Normal (Web)"/>
    <w:basedOn w:val="Normal"/>
    <w:link w:val="NormalWebChar"/>
    <w:uiPriority w:val="99"/>
    <w:semiHidden/>
    <w:unhideWhenUsed/>
    <w:rsid w:val="00D42915"/>
    <w:pPr>
      <w:suppressAutoHyphens/>
      <w:spacing w:before="168" w:after="168" w:line="240" w:lineRule="auto"/>
    </w:pPr>
    <w:rPr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41E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1E67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B85D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85D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85DB5"/>
    <w:rPr>
      <w:rFonts w:ascii="Calibri" w:eastAsiaTheme="majorEastAsia" w:hAnsi="Calibri" w:cstheme="majorBidi"/>
      <w:color w:val="2F5496" w:themeColor="accent1" w:themeShade="BF"/>
      <w:sz w:val="28"/>
      <w:szCs w:val="28"/>
    </w:rPr>
  </w:style>
  <w:style w:type="paragraph" w:customStyle="1" w:styleId="DirioOficial">
    <w:name w:val="Diário Oficial"/>
    <w:basedOn w:val="SemEspaamento"/>
    <w:link w:val="DirioOficialChar"/>
    <w:qFormat/>
    <w:rsid w:val="00FA1463"/>
    <w:pPr>
      <w:suppressLineNumbers/>
      <w:ind w:right="4536"/>
    </w:pPr>
    <w:rPr>
      <w:rFonts w:ascii="Verdana" w:eastAsia="Arial Unicode MS" w:hAnsi="Verdana" w:cstheme="minorHAnsi"/>
      <w:w w:val="90"/>
      <w:sz w:val="18"/>
    </w:rPr>
  </w:style>
  <w:style w:type="character" w:customStyle="1" w:styleId="DirioOficialChar">
    <w:name w:val="Diário Oficial Char"/>
    <w:basedOn w:val="Fontepargpadro"/>
    <w:link w:val="DirioOficial"/>
    <w:rsid w:val="00FA1463"/>
    <w:rPr>
      <w:rFonts w:ascii="Verdana" w:eastAsia="Arial Unicode MS" w:hAnsi="Verdana" w:cstheme="minorHAnsi"/>
      <w:w w:val="90"/>
      <w:sz w:val="18"/>
      <w:szCs w:val="24"/>
    </w:rPr>
  </w:style>
  <w:style w:type="paragraph" w:customStyle="1" w:styleId="Endereamento">
    <w:name w:val="Endereçamento"/>
    <w:basedOn w:val="SemEspaamento"/>
    <w:next w:val="Normal"/>
    <w:link w:val="EndereamentoChar"/>
    <w:qFormat/>
    <w:rsid w:val="00FA1463"/>
    <w:pPr>
      <w:suppressAutoHyphens/>
      <w:spacing w:afterLines="1300" w:after="1300" w:line="312" w:lineRule="auto"/>
      <w:jc w:val="center"/>
    </w:pPr>
    <w:rPr>
      <w:rFonts w:ascii="Aptos SemiBold" w:hAnsi="Aptos SemiBold"/>
      <w:b/>
      <w:caps/>
      <w:spacing w:val="20"/>
    </w:rPr>
  </w:style>
  <w:style w:type="character" w:customStyle="1" w:styleId="EndereamentoChar">
    <w:name w:val="Endereçamento Char"/>
    <w:basedOn w:val="Fontepargpadro"/>
    <w:link w:val="Endereamento"/>
    <w:rsid w:val="00FA1463"/>
    <w:rPr>
      <w:rFonts w:ascii="Aptos SemiBold" w:hAnsi="Aptos SemiBold"/>
      <w:b/>
      <w:caps/>
      <w:spacing w:val="20"/>
      <w:sz w:val="24"/>
      <w:szCs w:val="24"/>
    </w:rPr>
  </w:style>
  <w:style w:type="paragraph" w:customStyle="1" w:styleId="Nivel01">
    <w:name w:val="Nivel 01"/>
    <w:basedOn w:val="Ttulo1"/>
    <w:next w:val="Nivel2"/>
    <w:qFormat/>
    <w:rsid w:val="00FA1463"/>
    <w:pPr>
      <w:numPr>
        <w:numId w:val="12"/>
      </w:numPr>
      <w:tabs>
        <w:tab w:val="left" w:pos="567"/>
      </w:tabs>
      <w:spacing w:after="360" w:line="240" w:lineRule="auto"/>
    </w:pPr>
    <w:rPr>
      <w:rFonts w:ascii="Aptos SemiBold" w:eastAsia="Times New Roman" w:hAnsi="Aptos SemiBold" w:cs="Segoe UI"/>
      <w:b/>
      <w:bCs/>
      <w:smallCaps/>
      <w:color w:val="3F3D3D"/>
      <w:spacing w:val="20"/>
      <w:sz w:val="28"/>
      <w:szCs w:val="14"/>
      <w:lang w:eastAsia="pt-BR"/>
    </w:rPr>
  </w:style>
  <w:style w:type="paragraph" w:customStyle="1" w:styleId="Grifo">
    <w:name w:val="Grifo"/>
    <w:basedOn w:val="Citao"/>
    <w:link w:val="GrifoChar"/>
    <w:qFormat/>
    <w:rsid w:val="00FA1463"/>
  </w:style>
  <w:style w:type="character" w:customStyle="1" w:styleId="GrifoChar">
    <w:name w:val="Grifo Char"/>
    <w:link w:val="Grifo"/>
    <w:rsid w:val="00FA1463"/>
    <w:rPr>
      <w:rFonts w:ascii="Segoe UI Light" w:eastAsia="Times New Roman" w:hAnsi="Segoe UI Light" w:cs="Aptos"/>
      <w:iCs/>
      <w:sz w:val="20"/>
      <w:szCs w:val="24"/>
    </w:rPr>
  </w:style>
  <w:style w:type="paragraph" w:styleId="Citao">
    <w:name w:val="Quote"/>
    <w:basedOn w:val="Normal"/>
    <w:next w:val="Normal"/>
    <w:link w:val="CitaoChar"/>
    <w:uiPriority w:val="29"/>
    <w:rsid w:val="00B85D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85DB5"/>
    <w:rPr>
      <w:rFonts w:ascii="Calibri" w:hAnsi="Calibri"/>
      <w:i/>
      <w:iCs/>
      <w:color w:val="404040" w:themeColor="text1" w:themeTint="BF"/>
      <w:sz w:val="24"/>
    </w:rPr>
  </w:style>
  <w:style w:type="paragraph" w:customStyle="1" w:styleId="Destaque">
    <w:name w:val="Destaque"/>
    <w:basedOn w:val="Normal"/>
    <w:link w:val="DestaqueChar"/>
    <w:qFormat/>
    <w:rsid w:val="00B85DB5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B85DB5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Nivel2">
    <w:name w:val="Nivel 2"/>
    <w:basedOn w:val="Normal"/>
    <w:link w:val="Nivel2Char"/>
    <w:qFormat/>
    <w:rsid w:val="00FA1463"/>
    <w:pPr>
      <w:numPr>
        <w:ilvl w:val="1"/>
        <w:numId w:val="12"/>
      </w:numPr>
    </w:pPr>
  </w:style>
  <w:style w:type="character" w:customStyle="1" w:styleId="Nivel2Char">
    <w:name w:val="Nivel 2 Char"/>
    <w:link w:val="Nivel2"/>
    <w:locked/>
    <w:rsid w:val="00FA1463"/>
    <w:rPr>
      <w:rFonts w:ascii="Aptos" w:hAnsi="Aptos"/>
      <w:sz w:val="24"/>
      <w:szCs w:val="24"/>
    </w:rPr>
  </w:style>
  <w:style w:type="paragraph" w:customStyle="1" w:styleId="Nivel3">
    <w:name w:val="Nivel 3"/>
    <w:basedOn w:val="Normal"/>
    <w:qFormat/>
    <w:rsid w:val="00FA1463"/>
    <w:pPr>
      <w:numPr>
        <w:ilvl w:val="2"/>
        <w:numId w:val="12"/>
      </w:numPr>
    </w:pPr>
    <w:rPr>
      <w:rFonts w:eastAsia="Calibri" w:cs="Arial"/>
      <w:color w:val="000000"/>
      <w:szCs w:val="20"/>
      <w:lang w:eastAsia="pt-BR"/>
    </w:rPr>
  </w:style>
  <w:style w:type="paragraph" w:customStyle="1" w:styleId="Nivel4">
    <w:name w:val="Nivel 4"/>
    <w:basedOn w:val="Nivel3"/>
    <w:qFormat/>
    <w:rsid w:val="00FA1463"/>
    <w:pPr>
      <w:numPr>
        <w:ilvl w:val="3"/>
      </w:numPr>
      <w:contextualSpacing/>
    </w:pPr>
    <w:rPr>
      <w:color w:val="auto"/>
    </w:rPr>
  </w:style>
  <w:style w:type="paragraph" w:customStyle="1" w:styleId="Nivel5">
    <w:name w:val="Nivel 5"/>
    <w:basedOn w:val="Nivel4"/>
    <w:qFormat/>
    <w:rsid w:val="00FA1463"/>
    <w:pPr>
      <w:numPr>
        <w:ilvl w:val="4"/>
      </w:numPr>
    </w:pPr>
  </w:style>
  <w:style w:type="paragraph" w:customStyle="1" w:styleId="ParecerJurdico">
    <w:name w:val="Parecer Jurídico"/>
    <w:basedOn w:val="Normal"/>
    <w:qFormat/>
    <w:rsid w:val="00FA1463"/>
    <w:pPr>
      <w:pBdr>
        <w:top w:val="single" w:sz="2" w:space="10" w:color="B10209"/>
        <w:bottom w:val="single" w:sz="2" w:space="10" w:color="B10209"/>
      </w:pBdr>
      <w:suppressAutoHyphens/>
      <w:spacing w:before="600" w:after="600" w:line="240" w:lineRule="auto"/>
      <w:ind w:left="907" w:right="907"/>
      <w:jc w:val="center"/>
    </w:pPr>
    <w:rPr>
      <w:rFonts w:ascii="Aptos Black" w:eastAsia="Aptos" w:hAnsi="Aptos Black" w:cs="Times New Roman"/>
      <w:smallCaps/>
      <w:color w:val="3F3D3D"/>
      <w:spacing w:val="26"/>
      <w:sz w:val="40"/>
    </w:rPr>
  </w:style>
  <w:style w:type="paragraph" w:customStyle="1" w:styleId="DivisoporTema">
    <w:name w:val="Divisão por Tema"/>
    <w:basedOn w:val="Ttulo2"/>
    <w:qFormat/>
    <w:rsid w:val="00FA1463"/>
    <w:pPr>
      <w:suppressAutoHyphens/>
      <w:spacing w:before="360" w:after="360"/>
    </w:pPr>
    <w:rPr>
      <w:rFonts w:ascii="Aptos SemiBold" w:hAnsi="Aptos SemiBold" w:cs="Segoe UI Semibold"/>
      <w:smallCaps/>
      <w:color w:val="auto"/>
      <w:spacing w:val="6"/>
      <w:sz w:val="24"/>
    </w:rPr>
  </w:style>
  <w:style w:type="paragraph" w:customStyle="1" w:styleId="LocaleData">
    <w:name w:val="Local e Data"/>
    <w:basedOn w:val="Normal"/>
    <w:next w:val="Nome"/>
    <w:qFormat/>
    <w:rsid w:val="00FA1463"/>
    <w:pPr>
      <w:spacing w:before="120" w:after="1120"/>
      <w:jc w:val="left"/>
    </w:pPr>
    <w:rPr>
      <w:rFonts w:eastAsia="Aptos" w:cs="Times New Roman"/>
    </w:rPr>
  </w:style>
  <w:style w:type="paragraph" w:customStyle="1" w:styleId="Nome">
    <w:name w:val="Nome"/>
    <w:basedOn w:val="Normal"/>
    <w:next w:val="Cargo"/>
    <w:link w:val="NomeChar"/>
    <w:qFormat/>
    <w:rsid w:val="00FA1463"/>
    <w:pPr>
      <w:keepNext/>
      <w:tabs>
        <w:tab w:val="center" w:pos="4252"/>
        <w:tab w:val="right" w:pos="8504"/>
      </w:tabs>
      <w:spacing w:after="0"/>
      <w:ind w:left="3686"/>
      <w:contextualSpacing/>
      <w:jc w:val="center"/>
    </w:pPr>
    <w:rPr>
      <w:rFonts w:ascii="Aptos Black" w:eastAsia="Aptos" w:hAnsi="Aptos Black" w:cs="Segoe UI"/>
      <w:smallCaps/>
      <w:color w:val="3F3D3D"/>
      <w:spacing w:val="30"/>
    </w:rPr>
  </w:style>
  <w:style w:type="character" w:customStyle="1" w:styleId="NomeChar">
    <w:name w:val="Nome Char"/>
    <w:link w:val="Nome"/>
    <w:rsid w:val="00FA1463"/>
    <w:rPr>
      <w:rFonts w:ascii="Aptos Black" w:eastAsia="Aptos" w:hAnsi="Aptos Black" w:cs="Segoe UI"/>
      <w:smallCaps/>
      <w:color w:val="3F3D3D"/>
      <w:spacing w:val="30"/>
      <w:sz w:val="24"/>
      <w:szCs w:val="24"/>
    </w:rPr>
  </w:style>
  <w:style w:type="paragraph" w:customStyle="1" w:styleId="Partes">
    <w:name w:val="Partes"/>
    <w:basedOn w:val="Normal"/>
    <w:link w:val="PartesChar"/>
    <w:qFormat/>
    <w:rsid w:val="00FA1463"/>
    <w:pPr>
      <w:spacing w:line="240" w:lineRule="auto"/>
    </w:pPr>
    <w:rPr>
      <w:rFonts w:ascii="Aptos SemiBold" w:hAnsi="Aptos SemiBold"/>
      <w:smallCaps/>
      <w:color w:val="3F3D3D"/>
    </w:rPr>
  </w:style>
  <w:style w:type="character" w:customStyle="1" w:styleId="PartesChar">
    <w:name w:val="Partes Char"/>
    <w:basedOn w:val="Fontepargpadro"/>
    <w:link w:val="Partes"/>
    <w:rsid w:val="00FA1463"/>
    <w:rPr>
      <w:rFonts w:ascii="Aptos SemiBold" w:hAnsi="Aptos SemiBold"/>
      <w:smallCaps/>
      <w:color w:val="3F3D3D"/>
      <w:sz w:val="24"/>
      <w:szCs w:val="24"/>
    </w:rPr>
  </w:style>
  <w:style w:type="paragraph" w:customStyle="1" w:styleId="Cargo">
    <w:name w:val="Cargo"/>
    <w:basedOn w:val="Nome"/>
    <w:link w:val="CargoChar"/>
    <w:qFormat/>
    <w:rsid w:val="00FA1463"/>
    <w:pPr>
      <w:spacing w:before="0" w:after="240"/>
    </w:pPr>
    <w:rPr>
      <w:rFonts w:ascii="Aptos SemiBold" w:hAnsi="Aptos SemiBold"/>
    </w:rPr>
  </w:style>
  <w:style w:type="character" w:customStyle="1" w:styleId="CargoChar">
    <w:name w:val="Cargo Char"/>
    <w:link w:val="Cargo"/>
    <w:rsid w:val="00FA1463"/>
    <w:rPr>
      <w:rFonts w:ascii="Aptos SemiBold" w:eastAsia="Aptos" w:hAnsi="Aptos SemiBold" w:cs="Segoe UI"/>
      <w:smallCaps/>
      <w:color w:val="3F3D3D"/>
      <w:spacing w:val="30"/>
      <w:sz w:val="24"/>
      <w:szCs w:val="24"/>
    </w:rPr>
  </w:style>
  <w:style w:type="paragraph" w:customStyle="1" w:styleId="Ementa">
    <w:name w:val="Ementa"/>
    <w:basedOn w:val="Normal"/>
    <w:link w:val="EmentaChar"/>
    <w:rsid w:val="00FA1463"/>
    <w:pPr>
      <w:ind w:left="3686"/>
    </w:pPr>
    <w:rPr>
      <w:rFonts w:ascii="Aptos SemiBold" w:hAnsi="Aptos SemiBold"/>
      <w:caps/>
      <w:color w:val="B10209"/>
    </w:rPr>
  </w:style>
  <w:style w:type="character" w:customStyle="1" w:styleId="EmentaChar">
    <w:name w:val="Ementa Char"/>
    <w:basedOn w:val="Fontepargpadro"/>
    <w:link w:val="Ementa"/>
    <w:rsid w:val="00FA1463"/>
    <w:rPr>
      <w:rFonts w:ascii="Aptos SemiBold" w:hAnsi="Aptos SemiBold"/>
      <w:caps/>
      <w:color w:val="B10209"/>
      <w:sz w:val="24"/>
      <w:szCs w:val="24"/>
    </w:rPr>
  </w:style>
  <w:style w:type="paragraph" w:customStyle="1" w:styleId="Art1ao9">
    <w:name w:val="Art. 1º ao 9º"/>
    <w:basedOn w:val="Normal"/>
    <w:link w:val="Art1ao9Char"/>
    <w:qFormat/>
    <w:rsid w:val="00FA1463"/>
    <w:pPr>
      <w:numPr>
        <w:numId w:val="21"/>
      </w:numPr>
    </w:pPr>
    <w:rPr>
      <w:rFonts w:eastAsia="Aptos"/>
    </w:rPr>
  </w:style>
  <w:style w:type="character" w:customStyle="1" w:styleId="Art1ao9Char">
    <w:name w:val="Art. 1º ao 9º Char"/>
    <w:link w:val="Art1ao9"/>
    <w:rsid w:val="00FA1463"/>
    <w:rPr>
      <w:rFonts w:ascii="Aptos" w:eastAsia="Aptos" w:hAnsi="Aptos"/>
      <w:sz w:val="24"/>
      <w:szCs w:val="24"/>
    </w:rPr>
  </w:style>
  <w:style w:type="paragraph" w:customStyle="1" w:styleId="Art10">
    <w:name w:val="Art. 10 ..."/>
    <w:basedOn w:val="Art1ao9"/>
    <w:link w:val="Art10Char"/>
    <w:qFormat/>
    <w:rsid w:val="00FA1463"/>
    <w:pPr>
      <w:numPr>
        <w:numId w:val="7"/>
      </w:numPr>
    </w:pPr>
  </w:style>
  <w:style w:type="character" w:customStyle="1" w:styleId="Art10Char">
    <w:name w:val="Art. 10 ... Char"/>
    <w:basedOn w:val="Art1ao9Char"/>
    <w:link w:val="Art10"/>
    <w:rsid w:val="00FA1463"/>
    <w:rPr>
      <w:rFonts w:ascii="Aptos" w:eastAsia="Aptos" w:hAnsi="Aptos"/>
      <w:sz w:val="24"/>
      <w:szCs w:val="24"/>
    </w:rPr>
  </w:style>
  <w:style w:type="paragraph" w:customStyle="1" w:styleId="10">
    <w:name w:val="§ 10 ..."/>
    <w:basedOn w:val="Normal"/>
    <w:link w:val="10Char"/>
    <w:qFormat/>
    <w:rsid w:val="00FA1463"/>
    <w:pPr>
      <w:numPr>
        <w:numId w:val="13"/>
      </w:numPr>
    </w:pPr>
    <w:rPr>
      <w:rFonts w:asciiTheme="minorHAnsi" w:hAnsiTheme="minorHAnsi"/>
    </w:rPr>
  </w:style>
  <w:style w:type="character" w:customStyle="1" w:styleId="10Char">
    <w:name w:val="§ 10 ... Char"/>
    <w:basedOn w:val="Fontepargpadro"/>
    <w:link w:val="10"/>
    <w:rsid w:val="00FA1463"/>
    <w:rPr>
      <w:sz w:val="24"/>
      <w:szCs w:val="24"/>
    </w:rPr>
  </w:style>
  <w:style w:type="paragraph" w:customStyle="1" w:styleId="1ao9">
    <w:name w:val="§ 1º ao 9º"/>
    <w:basedOn w:val="Normal"/>
    <w:link w:val="1ao9Char"/>
    <w:qFormat/>
    <w:rsid w:val="00FA1463"/>
    <w:pPr>
      <w:numPr>
        <w:numId w:val="22"/>
      </w:numPr>
    </w:pPr>
    <w:rPr>
      <w:rFonts w:eastAsia="Aptos"/>
    </w:rPr>
  </w:style>
  <w:style w:type="character" w:customStyle="1" w:styleId="1ao9Char">
    <w:name w:val="§ 1º ao 9º Char"/>
    <w:link w:val="1ao9"/>
    <w:rsid w:val="00FA1463"/>
    <w:rPr>
      <w:rFonts w:ascii="Aptos" w:eastAsia="Aptos" w:hAnsi="Aptos"/>
      <w:sz w:val="24"/>
      <w:szCs w:val="24"/>
    </w:rPr>
  </w:style>
  <w:style w:type="paragraph" w:customStyle="1" w:styleId="Incisos">
    <w:name w:val="Incisos"/>
    <w:basedOn w:val="Normal"/>
    <w:link w:val="IncisosChar"/>
    <w:qFormat/>
    <w:rsid w:val="00FA1463"/>
    <w:pPr>
      <w:numPr>
        <w:numId w:val="10"/>
      </w:numPr>
      <w:contextualSpacing/>
    </w:pPr>
  </w:style>
  <w:style w:type="character" w:customStyle="1" w:styleId="IncisosChar">
    <w:name w:val="Incisos Char"/>
    <w:basedOn w:val="Fontepargpadro"/>
    <w:link w:val="Incisos"/>
    <w:rsid w:val="00FA1463"/>
    <w:rPr>
      <w:rFonts w:ascii="Aptos" w:hAnsi="Aptos"/>
      <w:sz w:val="24"/>
      <w:szCs w:val="24"/>
    </w:rPr>
  </w:style>
  <w:style w:type="paragraph" w:customStyle="1" w:styleId="nico">
    <w:name w:val="§ Único"/>
    <w:basedOn w:val="Normal"/>
    <w:link w:val="nicoChar"/>
    <w:qFormat/>
    <w:rsid w:val="00FA1463"/>
    <w:pPr>
      <w:ind w:firstLine="567"/>
    </w:pPr>
  </w:style>
  <w:style w:type="character" w:customStyle="1" w:styleId="nicoChar">
    <w:name w:val="§ Único Char"/>
    <w:basedOn w:val="Fontepargpadro"/>
    <w:link w:val="nico"/>
    <w:rsid w:val="00FA1463"/>
    <w:rPr>
      <w:rFonts w:ascii="Aptos" w:hAnsi="Aptos"/>
      <w:sz w:val="24"/>
      <w:szCs w:val="24"/>
    </w:rPr>
  </w:style>
  <w:style w:type="paragraph" w:customStyle="1" w:styleId="Alineas">
    <w:name w:val="Alineas"/>
    <w:basedOn w:val="Normal"/>
    <w:link w:val="AlineasChar"/>
    <w:qFormat/>
    <w:rsid w:val="00FA1463"/>
    <w:pPr>
      <w:numPr>
        <w:numId w:val="9"/>
      </w:numPr>
      <w:contextualSpacing/>
    </w:pPr>
  </w:style>
  <w:style w:type="character" w:customStyle="1" w:styleId="AlineasChar">
    <w:name w:val="Alineas Char"/>
    <w:basedOn w:val="Fontepargpadro"/>
    <w:link w:val="Alineas"/>
    <w:rsid w:val="00FA1463"/>
    <w:rPr>
      <w:rFonts w:ascii="Aptos" w:hAnsi="Aptos"/>
      <w:sz w:val="24"/>
      <w:szCs w:val="24"/>
    </w:rPr>
  </w:style>
  <w:style w:type="paragraph" w:customStyle="1" w:styleId="PLDecPort">
    <w:name w:val="PL / Dec/ Port"/>
    <w:next w:val="Ementa"/>
    <w:link w:val="PLDecPortChar"/>
    <w:qFormat/>
    <w:rsid w:val="00FA1463"/>
    <w:pPr>
      <w:suppressAutoHyphens/>
      <w:spacing w:before="360" w:after="360" w:line="240" w:lineRule="auto"/>
      <w:jc w:val="center"/>
    </w:pPr>
    <w:rPr>
      <w:rFonts w:ascii="Aptos Black" w:hAnsi="Aptos Black"/>
      <w:caps/>
      <w:color w:val="000080"/>
      <w:spacing w:val="20"/>
      <w:sz w:val="24"/>
      <w:szCs w:val="24"/>
    </w:rPr>
  </w:style>
  <w:style w:type="character" w:customStyle="1" w:styleId="PLDecPortChar">
    <w:name w:val="PL / Dec/ Port Char"/>
    <w:basedOn w:val="AlineasChar"/>
    <w:link w:val="PLDecPort"/>
    <w:rsid w:val="00FA1463"/>
    <w:rPr>
      <w:rFonts w:ascii="Aptos Black" w:hAnsi="Aptos Black"/>
      <w:caps/>
      <w:color w:val="000080"/>
      <w:spacing w:val="20"/>
      <w:sz w:val="24"/>
      <w:szCs w:val="24"/>
    </w:rPr>
  </w:style>
  <w:style w:type="paragraph" w:customStyle="1" w:styleId="Itens">
    <w:name w:val="Itens"/>
    <w:basedOn w:val="Alineas"/>
    <w:link w:val="ItensChar"/>
    <w:qFormat/>
    <w:rsid w:val="00FA1463"/>
    <w:pPr>
      <w:numPr>
        <w:numId w:val="14"/>
      </w:numPr>
      <w:ind w:left="0" w:firstLine="567"/>
    </w:pPr>
  </w:style>
  <w:style w:type="character" w:customStyle="1" w:styleId="ItensChar">
    <w:name w:val="Itens Char"/>
    <w:basedOn w:val="AlineasChar"/>
    <w:link w:val="Itens"/>
    <w:rsid w:val="00FA1463"/>
    <w:rPr>
      <w:rFonts w:ascii="Aptos" w:hAnsi="Aptos"/>
      <w:sz w:val="24"/>
      <w:szCs w:val="24"/>
    </w:rPr>
  </w:style>
  <w:style w:type="paragraph" w:customStyle="1" w:styleId="Doutrinador">
    <w:name w:val="Doutrinador"/>
    <w:link w:val="DoutrinadorChar"/>
    <w:qFormat/>
    <w:rsid w:val="00FA1463"/>
    <w:pPr>
      <w:spacing w:after="0" w:line="312" w:lineRule="auto"/>
      <w:jc w:val="both"/>
    </w:pPr>
    <w:rPr>
      <w:rFonts w:ascii="Aptos" w:eastAsiaTheme="minorEastAsia" w:hAnsi="Aptos" w:cs="Arial"/>
      <w:smallCaps/>
      <w:sz w:val="24"/>
      <w:szCs w:val="20"/>
      <w:lang w:eastAsia="pt-BR"/>
    </w:rPr>
  </w:style>
  <w:style w:type="character" w:customStyle="1" w:styleId="DoutrinadorChar">
    <w:name w:val="Doutrinador Char"/>
    <w:basedOn w:val="Fontepargpadro"/>
    <w:link w:val="Doutrinador"/>
    <w:rsid w:val="00FA1463"/>
    <w:rPr>
      <w:rFonts w:ascii="Aptos" w:eastAsiaTheme="minorEastAsia" w:hAnsi="Aptos" w:cs="Arial"/>
      <w:smallCaps/>
      <w:sz w:val="24"/>
      <w:szCs w:val="20"/>
      <w:lang w:eastAsia="pt-BR"/>
    </w:rPr>
  </w:style>
  <w:style w:type="paragraph" w:customStyle="1" w:styleId="TTULO">
    <w:name w:val="TÍTULO"/>
    <w:basedOn w:val="Ttulo1"/>
    <w:link w:val="TTULOChar"/>
    <w:qFormat/>
    <w:rsid w:val="00FA1463"/>
    <w:pPr>
      <w:keepLines w:val="0"/>
      <w:suppressAutoHyphens/>
      <w:spacing w:after="360" w:line="240" w:lineRule="auto"/>
      <w:jc w:val="center"/>
    </w:pPr>
    <w:rPr>
      <w:rFonts w:ascii="Aptos SemiBold" w:hAnsi="Aptos SemiBold"/>
      <w:caps/>
      <w:color w:val="auto"/>
      <w:sz w:val="24"/>
    </w:rPr>
  </w:style>
  <w:style w:type="character" w:customStyle="1" w:styleId="TTULOChar">
    <w:name w:val="TÍTULO Char"/>
    <w:basedOn w:val="Fontepargpadro"/>
    <w:link w:val="TTULO"/>
    <w:rsid w:val="00FA1463"/>
    <w:rPr>
      <w:rFonts w:ascii="Aptos SemiBold" w:eastAsiaTheme="majorEastAsia" w:hAnsi="Aptos SemiBold" w:cstheme="majorBidi"/>
      <w:caps/>
      <w:sz w:val="24"/>
      <w:szCs w:val="32"/>
    </w:rPr>
  </w:style>
  <w:style w:type="paragraph" w:customStyle="1" w:styleId="CAPTULO">
    <w:name w:val="CAPÍTULO"/>
    <w:basedOn w:val="Ttulo2"/>
    <w:link w:val="CAPTULOChar"/>
    <w:qFormat/>
    <w:rsid w:val="00FA1463"/>
    <w:pPr>
      <w:keepLines w:val="0"/>
      <w:suppressAutoHyphens/>
      <w:spacing w:before="360" w:after="360" w:line="240" w:lineRule="auto"/>
      <w:jc w:val="center"/>
    </w:pPr>
    <w:rPr>
      <w:rFonts w:ascii="Aptos" w:hAnsi="Aptos"/>
      <w:caps/>
      <w:color w:val="auto"/>
      <w:sz w:val="24"/>
    </w:rPr>
  </w:style>
  <w:style w:type="character" w:customStyle="1" w:styleId="CAPTULOChar">
    <w:name w:val="CAPÍTULO Char"/>
    <w:basedOn w:val="Fontepargpadro"/>
    <w:link w:val="CAPTULO"/>
    <w:rsid w:val="00FA1463"/>
    <w:rPr>
      <w:rFonts w:ascii="Aptos" w:eastAsiaTheme="majorEastAsia" w:hAnsi="Aptos" w:cstheme="majorBidi"/>
      <w:caps/>
      <w:sz w:val="24"/>
      <w:szCs w:val="26"/>
    </w:rPr>
  </w:style>
  <w:style w:type="paragraph" w:customStyle="1" w:styleId="SEO">
    <w:name w:val="SEÇÃO"/>
    <w:basedOn w:val="Ttulo3"/>
    <w:link w:val="SEOChar"/>
    <w:qFormat/>
    <w:rsid w:val="00FA1463"/>
    <w:pPr>
      <w:keepLines w:val="0"/>
      <w:suppressAutoHyphens/>
      <w:spacing w:before="360" w:after="360" w:line="240" w:lineRule="auto"/>
      <w:jc w:val="center"/>
    </w:pPr>
    <w:rPr>
      <w:rFonts w:ascii="Aptos" w:hAnsi="Aptos"/>
      <w:color w:val="000000" w:themeColor="text1"/>
      <w:sz w:val="24"/>
    </w:rPr>
  </w:style>
  <w:style w:type="character" w:customStyle="1" w:styleId="SEOChar">
    <w:name w:val="SEÇÃO Char"/>
    <w:basedOn w:val="Fontepargpadro"/>
    <w:link w:val="SEO"/>
    <w:rsid w:val="00FA1463"/>
    <w:rPr>
      <w:rFonts w:ascii="Aptos" w:eastAsiaTheme="majorEastAsia" w:hAnsi="Aptos" w:cstheme="majorBidi"/>
      <w:color w:val="000000" w:themeColor="text1"/>
      <w:sz w:val="24"/>
      <w:szCs w:val="28"/>
    </w:rPr>
  </w:style>
  <w:style w:type="paragraph" w:customStyle="1" w:styleId="Subseo">
    <w:name w:val="Subseção"/>
    <w:basedOn w:val="Ttulo4"/>
    <w:link w:val="SubseoChar"/>
    <w:qFormat/>
    <w:rsid w:val="00FA1463"/>
    <w:pPr>
      <w:keepLines w:val="0"/>
      <w:suppressAutoHyphens/>
      <w:spacing w:before="360" w:after="360"/>
      <w:jc w:val="center"/>
    </w:pPr>
    <w:rPr>
      <w:rFonts w:ascii="Aptos" w:eastAsia="Times New Roman" w:hAnsi="Aptos"/>
      <w:color w:val="000000" w:themeColor="text1"/>
      <w:lang w:eastAsia="pt-BR"/>
    </w:rPr>
  </w:style>
  <w:style w:type="character" w:customStyle="1" w:styleId="SubseoChar">
    <w:name w:val="Subseção Char"/>
    <w:basedOn w:val="SEOChar"/>
    <w:link w:val="Subseo"/>
    <w:rsid w:val="00FA1463"/>
    <w:rPr>
      <w:rFonts w:ascii="Aptos" w:eastAsia="Times New Roman" w:hAnsi="Aptos" w:cstheme="majorBidi"/>
      <w:i/>
      <w:iCs/>
      <w:color w:val="000000" w:themeColor="text1"/>
      <w:sz w:val="24"/>
      <w:szCs w:val="24"/>
      <w:lang w:eastAsia="pt-BR"/>
    </w:rPr>
  </w:style>
  <w:style w:type="paragraph" w:styleId="Textodenotadefim">
    <w:name w:val="endnote text"/>
    <w:basedOn w:val="Normal"/>
    <w:link w:val="TextodenotadefimChar"/>
    <w:uiPriority w:val="99"/>
    <w:unhideWhenUsed/>
    <w:rsid w:val="00FA1463"/>
    <w:pPr>
      <w:spacing w:before="0" w:after="0" w:line="240" w:lineRule="auto"/>
    </w:pPr>
    <w:rPr>
      <w:rFonts w:eastAsia="Aptos"/>
    </w:rPr>
  </w:style>
  <w:style w:type="character" w:customStyle="1" w:styleId="TextodenotadefimChar">
    <w:name w:val="Texto de nota de fim Char"/>
    <w:link w:val="Textodenotadefim"/>
    <w:uiPriority w:val="99"/>
    <w:rsid w:val="00FA1463"/>
    <w:rPr>
      <w:rFonts w:ascii="Aptos" w:eastAsia="Aptos" w:hAnsi="Aptos"/>
      <w:sz w:val="24"/>
      <w:szCs w:val="24"/>
    </w:rPr>
  </w:style>
  <w:style w:type="character" w:styleId="Refdenotadefim">
    <w:name w:val="endnote reference"/>
    <w:basedOn w:val="Fontepargpadro"/>
    <w:uiPriority w:val="99"/>
    <w:semiHidden/>
    <w:unhideWhenUsed/>
    <w:rsid w:val="00FA1463"/>
    <w:rPr>
      <w:vertAlign w:val="superscript"/>
    </w:rPr>
  </w:style>
  <w:style w:type="paragraph" w:customStyle="1" w:styleId="Certido">
    <w:name w:val="Certidão"/>
    <w:basedOn w:val="Normal"/>
    <w:link w:val="CertidoChar"/>
    <w:qFormat/>
    <w:rsid w:val="00FA146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F2F2F2" w:themeFill="background1" w:themeFillShade="F2"/>
      <w:spacing w:before="120" w:after="120" w:line="240" w:lineRule="auto"/>
      <w:ind w:left="4253"/>
      <w:contextualSpacing/>
      <w:jc w:val="center"/>
    </w:pPr>
    <w:rPr>
      <w:rFonts w:eastAsia="Aptos"/>
      <w:sz w:val="18"/>
    </w:rPr>
  </w:style>
  <w:style w:type="character" w:customStyle="1" w:styleId="CertidoChar">
    <w:name w:val="Certidão Char"/>
    <w:link w:val="Certido"/>
    <w:rsid w:val="00FA1463"/>
    <w:rPr>
      <w:rFonts w:ascii="Aptos" w:eastAsia="Aptos" w:hAnsi="Aptos"/>
      <w:sz w:val="18"/>
      <w:szCs w:val="24"/>
      <w:shd w:val="clear" w:color="auto" w:fill="F2F2F2" w:themeFill="background1" w:themeFillShade="F2"/>
    </w:rPr>
  </w:style>
  <w:style w:type="paragraph" w:customStyle="1" w:styleId="NotaExplicativa">
    <w:name w:val="Nota Explicativa"/>
    <w:basedOn w:val="Normal"/>
    <w:link w:val="NotaExplicativaChar"/>
    <w:qFormat/>
    <w:rsid w:val="00B85DB5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B85DB5"/>
    <w:rPr>
      <w:rFonts w:ascii="Calibri" w:hAnsi="Calibri"/>
      <w:sz w:val="24"/>
      <w:shd w:val="clear" w:color="auto" w:fill="FFFFCC"/>
    </w:rPr>
  </w:style>
  <w:style w:type="paragraph" w:styleId="Textodenotaderodap">
    <w:name w:val="footnote text"/>
    <w:basedOn w:val="Normal"/>
    <w:link w:val="TextodenotaderodapChar"/>
    <w:uiPriority w:val="99"/>
    <w:rsid w:val="00FA1463"/>
    <w:pPr>
      <w:spacing w:after="0" w:line="240" w:lineRule="auto"/>
    </w:pPr>
    <w:rPr>
      <w:rFonts w:eastAsia="Times New Roman" w:cs="Times New Roman"/>
      <w:sz w:val="20"/>
      <w:szCs w:val="20"/>
      <w:lang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FA1463"/>
    <w:rPr>
      <w:rFonts w:ascii="Aptos" w:eastAsia="Times New Roman" w:hAnsi="Aptos" w:cs="Times New Roman"/>
      <w:sz w:val="20"/>
      <w:szCs w:val="20"/>
      <w:lang w:eastAsia="pt-BR"/>
    </w:rPr>
  </w:style>
  <w:style w:type="table" w:styleId="Tabelaclssica1">
    <w:name w:val="Table Classic 1"/>
    <w:basedOn w:val="Tabelanormal"/>
    <w:uiPriority w:val="99"/>
    <w:unhideWhenUsed/>
    <w:rsid w:val="00FA1463"/>
    <w:pPr>
      <w:spacing w:after="0" w:line="240" w:lineRule="auto"/>
    </w:pPr>
    <w:rPr>
      <w:rFonts w:ascii="Aptos" w:hAnsi="Aptos"/>
      <w:sz w:val="24"/>
      <w:szCs w:val="24"/>
    </w:rPr>
    <w:tblPr>
      <w:jc w:val="center"/>
      <w:tblBorders>
        <w:top w:val="single" w:sz="12" w:space="0" w:color="000000"/>
        <w:bottom w:val="single" w:sz="12" w:space="0" w:color="000000"/>
      </w:tblBorders>
    </w:tblPr>
    <w:trPr>
      <w:jc w:val="center"/>
    </w:trPr>
    <w:tcPr>
      <w:shd w:val="clear" w:color="auto" w:fill="auto"/>
      <w:vAlign w:val="center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">
    <w:name w:val="Table Grid"/>
    <w:basedOn w:val="Tabelanormal"/>
    <w:uiPriority w:val="39"/>
    <w:rsid w:val="00FA1463"/>
    <w:pPr>
      <w:spacing w:before="120" w:after="120" w:line="240" w:lineRule="auto"/>
    </w:pPr>
    <w:rPr>
      <w:rFonts w:ascii="Aptos" w:hAnsi="Aptos"/>
      <w:sz w:val="24"/>
      <w:szCs w:val="24"/>
    </w:rPr>
    <w:tblPr>
      <w:tblStyleRowBandSize w:val="1"/>
      <w:tblBorders>
        <w:insideH w:val="single" w:sz="4" w:space="0" w:color="3F3D3D"/>
        <w:insideV w:val="single" w:sz="4" w:space="0" w:color="3F3D3D"/>
      </w:tblBorders>
    </w:tblPr>
    <w:tcPr>
      <w:vAlign w:val="center"/>
    </w:tcPr>
    <w:tblStylePr w:type="firstRow">
      <w:pPr>
        <w:wordWrap/>
        <w:spacing w:beforeLines="0" w:before="120" w:beforeAutospacing="0" w:afterLines="0" w:after="120" w:afterAutospacing="0" w:line="240" w:lineRule="auto"/>
        <w:jc w:val="center"/>
      </w:pPr>
      <w:rPr>
        <w:rFonts w:ascii="Aptos SemiBold" w:hAnsi="Aptos SemiBold"/>
        <w:caps w:val="0"/>
        <w:smallCaps/>
        <w:color w:val="FFFFFF" w:themeColor="background1"/>
        <w:sz w:val="24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D3D"/>
      </w:tcPr>
    </w:tblStylePr>
    <w:tblStylePr w:type="band1Horz">
      <w:rPr>
        <w:rFonts w:ascii="Aptos" w:hAnsi="Aptos"/>
        <w:sz w:val="24"/>
      </w:rPr>
    </w:tblStylePr>
    <w:tblStylePr w:type="band2Horz">
      <w:rPr>
        <w:rFonts w:ascii="Aptos" w:hAnsi="Aptos"/>
        <w:sz w:val="24"/>
      </w:rPr>
      <w:tblPr/>
      <w:tcPr>
        <w:shd w:val="clear" w:color="auto" w:fill="D9D9D9" w:themeFill="background1" w:themeFillShade="D9"/>
      </w:tcPr>
    </w:tblStylePr>
  </w:style>
  <w:style w:type="character" w:styleId="Hyperlink">
    <w:name w:val="Hyperlink"/>
    <w:basedOn w:val="Fontepargpadro"/>
    <w:uiPriority w:val="99"/>
    <w:unhideWhenUsed/>
    <w:rsid w:val="00FA1463"/>
    <w:rPr>
      <w:rFonts w:ascii="Aptos" w:hAnsi="Aptos"/>
      <w:color w:val="B10209"/>
      <w:u w:val="single"/>
    </w:rPr>
  </w:style>
  <w:style w:type="paragraph" w:customStyle="1" w:styleId="Ementa-Lei">
    <w:name w:val="Ementa - Lei"/>
    <w:basedOn w:val="Normal"/>
    <w:link w:val="Ementa-LeiChar"/>
    <w:qFormat/>
    <w:rsid w:val="00FA1463"/>
    <w:pPr>
      <w:ind w:left="3540"/>
    </w:pPr>
    <w:rPr>
      <w:rFonts w:ascii="Aptos SemiBold" w:hAnsi="Aptos SemiBold"/>
      <w:caps/>
      <w:color w:val="B10209"/>
    </w:rPr>
  </w:style>
  <w:style w:type="character" w:customStyle="1" w:styleId="Ementa-LeiChar">
    <w:name w:val="Ementa - Lei Char"/>
    <w:basedOn w:val="Fontepargpadro"/>
    <w:link w:val="Ementa-Lei"/>
    <w:rsid w:val="00FA1463"/>
    <w:rPr>
      <w:rFonts w:ascii="Aptos SemiBold" w:hAnsi="Aptos SemiBold"/>
      <w:caps/>
      <w:color w:val="B10209"/>
      <w:sz w:val="24"/>
      <w:szCs w:val="24"/>
    </w:rPr>
  </w:style>
  <w:style w:type="paragraph" w:customStyle="1" w:styleId="Ementa-Parecer">
    <w:name w:val="Ementa - Parecer"/>
    <w:basedOn w:val="Normal"/>
    <w:link w:val="Ementa-ParecerChar"/>
    <w:qFormat/>
    <w:rsid w:val="00FA1463"/>
    <w:pPr>
      <w:ind w:left="2835"/>
    </w:pPr>
    <w:rPr>
      <w:rFonts w:ascii="Aptos SemiBold" w:hAnsi="Aptos SemiBold"/>
      <w:caps/>
      <w:color w:val="3F3D3D"/>
    </w:rPr>
  </w:style>
  <w:style w:type="character" w:customStyle="1" w:styleId="Ementa-ParecerChar">
    <w:name w:val="Ementa - Parecer Char"/>
    <w:basedOn w:val="Fontepargpadro"/>
    <w:link w:val="Ementa-Parecer"/>
    <w:rsid w:val="00FA1463"/>
    <w:rPr>
      <w:rFonts w:ascii="Aptos SemiBold" w:hAnsi="Aptos SemiBold"/>
      <w:caps/>
      <w:color w:val="3F3D3D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85DB5"/>
    <w:rPr>
      <w:rFonts w:ascii="Calibri" w:eastAsiaTheme="majorEastAsia" w:hAnsi="Calibri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85DB5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85DB5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85DB5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85DB5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0">
    <w:name w:val="Title"/>
    <w:basedOn w:val="Normal"/>
    <w:next w:val="Normal"/>
    <w:link w:val="TtuloChar0"/>
    <w:uiPriority w:val="10"/>
    <w:rsid w:val="00B85D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0">
    <w:name w:val="Título Char"/>
    <w:basedOn w:val="Fontepargpadro"/>
    <w:link w:val="Ttulo0"/>
    <w:uiPriority w:val="10"/>
    <w:rsid w:val="00B85D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B85D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85DB5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B85D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B85D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85DB5"/>
    <w:rPr>
      <w:rFonts w:ascii="Calibri" w:hAnsi="Calibri"/>
      <w:i/>
      <w:iCs/>
      <w:color w:val="2F5496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B85DB5"/>
    <w:rPr>
      <w:b/>
      <w:bCs/>
      <w:smallCaps/>
      <w:color w:val="2F5496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B85DB5"/>
    <w:pPr>
      <w:numPr>
        <w:numId w:val="23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B85DB5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B85DB5"/>
    <w:pPr>
      <w:numPr>
        <w:ilvl w:val="1"/>
        <w:numId w:val="23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B85DB5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B85DB5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85DB5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B85DB5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B85DB5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B85DB5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B85DB5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OU">
    <w:name w:val="OU"/>
    <w:basedOn w:val="Normal"/>
    <w:link w:val="OUChar"/>
    <w:qFormat/>
    <w:rsid w:val="00B85DB5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B85DB5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B85DB5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B85DB5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B85DB5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B85DB5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B85DB5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B85DB5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B85DB5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B85DB5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B85DB5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B85DB5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B85DB5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B85DB5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B85DB5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B85DB5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B85DB5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B85DB5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-Red">
    <w:name w:val="Destaque - Red"/>
    <w:basedOn w:val="Destaque"/>
    <w:link w:val="Destaque-RedChar"/>
    <w:qFormat/>
    <w:rsid w:val="00B85DB5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B85DB5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B85DB5"/>
    <w:pPr>
      <w:numPr>
        <w:ilvl w:val="0"/>
        <w:numId w:val="29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B85DB5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customStyle="1" w:styleId="Destaque-Azul">
    <w:name w:val="Destaque - Azul"/>
    <w:basedOn w:val="Destaque"/>
    <w:link w:val="Destaque-AzulChar"/>
    <w:qFormat/>
    <w:rsid w:val="00B85DB5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B85DB5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B85DB5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B85DB5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B85DB5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B85DB5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B85DB5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B85DB5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B85DB5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B85DB5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B85DB5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B85DB5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B85DB5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B85DB5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B85DB5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B85DB5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B85DB5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B85DB5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89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3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27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1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0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42</TotalTime>
  <Pages>6</Pages>
  <Words>1653</Words>
  <Characters>8931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Perílio Barbosa Leite da Silva</dc:creator>
  <cp:keywords/>
  <dc:description/>
  <cp:lastModifiedBy>Assessoria Jurídica Irupi</cp:lastModifiedBy>
  <cp:revision>8</cp:revision>
  <cp:lastPrinted>2020-01-13T19:26:00Z</cp:lastPrinted>
  <dcterms:created xsi:type="dcterms:W3CDTF">2025-08-26T13:28:00Z</dcterms:created>
  <dcterms:modified xsi:type="dcterms:W3CDTF">2026-03-06T17:39:00Z</dcterms:modified>
</cp:coreProperties>
</file>