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489A4" w14:textId="128672D6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 xml:space="preserve">MODELO DE </w:t>
      </w:r>
      <w:r>
        <w:rPr>
          <w:rFonts w:eastAsia="MS Gothic" w:cs="Calibri"/>
          <w:b/>
          <w:caps/>
          <w:color w:val="000000"/>
          <w:spacing w:val="26"/>
          <w:szCs w:val="40"/>
        </w:rPr>
        <w:t>instrumento de medição de resultados – IMR</w:t>
      </w:r>
    </w:p>
    <w:p w14:paraId="2C543EE8" w14:textId="77777777" w:rsidR="005E20B6" w:rsidRDefault="005E20B6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5E20B6">
        <w:rPr>
          <w:rFonts w:eastAsia="MS Gothic" w:cs="Calibri"/>
          <w:b/>
          <w:caps/>
          <w:color w:val="000000"/>
          <w:spacing w:val="26"/>
          <w:szCs w:val="40"/>
        </w:rPr>
        <w:t xml:space="preserve">SERVIÇOS SEM DEDICAÇÃO EXCLUSIVA DE MÃO-DE-OBRA </w:t>
      </w:r>
    </w:p>
    <w:p w14:paraId="54714FA3" w14:textId="59EE76E6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LEI Nº 14.133, DE 1º DE ABRIL</w:t>
      </w:r>
      <w:r w:rsidRPr="00735155">
        <w:rPr>
          <w:rFonts w:eastAsia="Cambria" w:cs="Calibri"/>
        </w:rPr>
        <w:t xml:space="preserve"> </w:t>
      </w: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DE 2021</w:t>
      </w:r>
    </w:p>
    <w:p w14:paraId="1A09121C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MS Gothic" w:cs="Times New Roman"/>
          <w:b/>
          <w:smallCaps/>
          <w:spacing w:val="20"/>
          <w:szCs w:val="32"/>
        </w:rPr>
      </w:pPr>
      <w:r w:rsidRPr="00735155">
        <w:rPr>
          <w:rFonts w:eastAsia="MS Gothic" w:cs="Times New Roman"/>
          <w:b/>
          <w:smallCaps/>
          <w:spacing w:val="20"/>
          <w:szCs w:val="32"/>
        </w:rPr>
        <w:t xml:space="preserve">Orientações para uso deste modelo – </w:t>
      </w:r>
      <w:r w:rsidRPr="00735155">
        <w:rPr>
          <w:rFonts w:eastAsia="MS Gothic" w:cs="Times New Roman"/>
          <w:b/>
          <w:smallCaps/>
          <w:color w:val="FF0000"/>
          <w:spacing w:val="20"/>
          <w:szCs w:val="32"/>
        </w:rPr>
        <w:t>Leitura Obrigatória</w:t>
      </w:r>
    </w:p>
    <w:p w14:paraId="6908733E" w14:textId="5EE0C3B1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735155">
        <w:rPr>
          <w:rFonts w:eastAsia="Cambria" w:cs="Calibri"/>
        </w:rPr>
        <w:t xml:space="preserve">O presente modelo de </w:t>
      </w:r>
      <w:r>
        <w:rPr>
          <w:rFonts w:eastAsia="Cambria" w:cs="Calibri"/>
        </w:rPr>
        <w:t>IMR</w:t>
      </w:r>
      <w:r w:rsidRPr="00735155">
        <w:rPr>
          <w:rFonts w:eastAsia="Cambria" w:cs="Calibri"/>
        </w:rPr>
        <w:t xml:space="preserve"> procura fornecer um ponto de partida para a definição </w:t>
      </w:r>
      <w:r>
        <w:rPr>
          <w:rFonts w:eastAsia="Cambria" w:cs="Calibri"/>
        </w:rPr>
        <w:t>da avaliação os resultados do contrato</w:t>
      </w:r>
      <w:r w:rsidRPr="00735155">
        <w:rPr>
          <w:rFonts w:eastAsia="Cambria" w:cs="Calibri"/>
        </w:rPr>
        <w:t xml:space="preserve">. </w:t>
      </w:r>
    </w:p>
    <w:p w14:paraId="35C28CD2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A implementação do IMR representa um avanço significativo na gestão de contratos administrativos, promovendo uma cultura de resultados e responsabilidade. Contudo, sua eficácia depende de uma elaboração cuidadosa e de uma aplicação consistente.</w:t>
      </w:r>
    </w:p>
    <w:p w14:paraId="03A114F5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Vantagens do IMR:</w:t>
      </w:r>
    </w:p>
    <w:p w14:paraId="55ADA51D" w14:textId="3BF236A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em Resultados: Direciona o contratado para a entrega de valor, e não apenas para o cumprimento formal de tarefas.</w:t>
      </w:r>
    </w:p>
    <w:p w14:paraId="01A42686" w14:textId="00C19B4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Transparência e Objetividade: Reduz a subjetividade na fiscalização, minimizando conflitos e garantindo equidade.</w:t>
      </w:r>
    </w:p>
    <w:p w14:paraId="1166A61E" w14:textId="4B3E909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Incentivo ao Desempenho: Estimula o contratado a buscar a excelência, pois o pagamento está diretamente ligado à qualidade e eficiência.</w:t>
      </w:r>
    </w:p>
    <w:p w14:paraId="29FF92A9" w14:textId="79B85E5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Economicidade: Permite à Administração pagar apenas pelo que foi efetivamente entregue e com a qualidade esperada, evitando desperdícios.</w:t>
      </w:r>
    </w:p>
    <w:p w14:paraId="4CAA207E" w14:textId="0D6290C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Melhoria Contínua: Fornece dados para identificar pontos de melhoria e ajustar as expectativas e requisitos contratuais em futuras contratações.</w:t>
      </w:r>
    </w:p>
    <w:p w14:paraId="35AD61B8" w14:textId="2D96C694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Segurança Jurídica: Oferece base sólida para a aplicação de glosas e sanções, em conformidade com a Lei nº 14.133, de 2021.</w:t>
      </w:r>
    </w:p>
    <w:p w14:paraId="578AAD34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Riscos de uso inadequado:</w:t>
      </w:r>
    </w:p>
    <w:p w14:paraId="7E238A2A" w14:textId="545C5DC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Indicadores Mal Definidos: Indicadores vagos, complexos ou irrelevantes podem gerar distorções, burocracia excessiva e ineficácia.</w:t>
      </w:r>
    </w:p>
    <w:p w14:paraId="34786B23" w14:textId="572C0BB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Burocracia Excessiva: Um IMR excessivamente detalhado ou com coleta de dados inviável pode gerar mais trabalho do que benefício.</w:t>
      </w:r>
    </w:p>
    <w:p w14:paraId="0AB2FD8D" w14:textId="27323B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Exclusivo em Glosas: Se o IMR for visto apenas como ferramenta de punição, pode desmotivar o contratado e gerar um ambiente de litígio.</w:t>
      </w:r>
    </w:p>
    <w:p w14:paraId="0FB5C9EA" w14:textId="5F06098C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Falta de Capacitação: Fiscais e gestores de contrato sem treinamento adequado podem ter dificuldades na aplicação e interpretação do IMR.</w:t>
      </w:r>
    </w:p>
    <w:p w14:paraId="4C0FD89E" w14:textId="36356B79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Rigidez Excessiva: A falta de flexibilidade para ajustar o IMR a mudanças de cenário ou a particularidades da execução pode comprometer o contrato.</w:t>
      </w:r>
    </w:p>
    <w:p w14:paraId="16F61199" w14:textId="7F5D365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Boas práticas de elaboração:</w:t>
      </w:r>
    </w:p>
    <w:p w14:paraId="790DD925" w14:textId="5697E0F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Estudo Técnico Preliminar (ETP) Robusto: O IMR deve ser construído a partir de um ETP que identifique claramente as necessidades, os resultados esperados e os riscos.</w:t>
      </w:r>
    </w:p>
    <w:p w14:paraId="235053FC" w14:textId="64444788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Diálogo com o Mercado: Consultas públicas ou audiências podem ajudar a validar a exequibilidade e a razoabilidade dos indicadores.</w:t>
      </w:r>
    </w:p>
    <w:p w14:paraId="5BB2A19E" w14:textId="02879585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Simplicidade e Clareza: Priorizar indicadores que sejam fáceis de entender, coletar e apurar.</w:t>
      </w:r>
    </w:p>
    <w:p w14:paraId="6EEF17A4" w14:textId="48D9B3C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lastRenderedPageBreak/>
        <w:t xml:space="preserve">- </w:t>
      </w:r>
      <w:r w:rsidRPr="00AF0E76">
        <w:rPr>
          <w:rFonts w:eastAsia="Cambria" w:cs="Calibri"/>
        </w:rPr>
        <w:t>Alinhamento com o Objeto: Cada indicador deve ter uma relação direta e lógica com o serviço ou obra contratada.</w:t>
      </w:r>
    </w:p>
    <w:p w14:paraId="656AE856" w14:textId="70EAA2FB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Definição de Responsabilidades: Deixar claro quem é o responsável pela coleta, apuração e validação de cada indicador.</w:t>
      </w:r>
    </w:p>
    <w:p w14:paraId="51600B86" w14:textId="207F5DA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Mecanismos de Contraditório: Prever prazos e procedimentos para que o contratado possa contestar os resultados da avaliação.</w:t>
      </w:r>
    </w:p>
    <w:p w14:paraId="6CA6FD2D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Erros comuns a evitar:</w:t>
      </w:r>
    </w:p>
    <w:p w14:paraId="5D4B9DF5" w14:textId="54BB55E6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Copiar IMRs de outros contratos sem adaptação ao objeto específico.</w:t>
      </w:r>
    </w:p>
    <w:p w14:paraId="38F7AE86" w14:textId="3173205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Definir metas inatingíveis ou excessivamente fáceis.</w:t>
      </w:r>
    </w:p>
    <w:p w14:paraId="10EF2173" w14:textId="1E9A7BF3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Criar indicadores que dependam de informações não disponíveis ou de difícil acesso.</w:t>
      </w:r>
    </w:p>
    <w:p w14:paraId="40E2F94A" w14:textId="7BFAFEC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prever as consequências financeiras ou corretivas para cada nível de desempenho.</w:t>
      </w:r>
    </w:p>
    <w:p w14:paraId="5E8274C8" w14:textId="4FBA3FE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capacitar a equipe de fiscalização para a aplicação do IMR.</w:t>
      </w:r>
    </w:p>
    <w:p w14:paraId="4DC701E2" w14:textId="5BC0A5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revisar o IMR periodicamente para ajustes necessários.</w:t>
      </w:r>
    </w:p>
    <w:p w14:paraId="0439FEC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>Sistema de Cores: Para facilitar o ajuste do contrato ao tipo de contratação, algumas cláusulas foram destacadas com cores distintas, devendo ser removidas ou mantidas em cada caso da seguinte forma:</w:t>
      </w:r>
    </w:p>
    <w:p w14:paraId="3FEF9EF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Os itens com redação em </w:t>
      </w:r>
      <w:r w:rsidRPr="00735155">
        <w:rPr>
          <w:rFonts w:eastAsia="MS Gothic" w:cs="Calibri"/>
          <w:b/>
          <w:smallCaps/>
          <w:color w:val="FF0000"/>
          <w:spacing w:val="22"/>
          <w:szCs w:val="32"/>
        </w:rPr>
        <w:t>vermelho</w:t>
      </w:r>
      <w:r w:rsidRPr="00735155">
        <w:rPr>
          <w:rFonts w:eastAsia="MS Gothic" w:cs="Calibri"/>
          <w:b/>
          <w:i/>
          <w:iCs/>
          <w:smallCaps/>
          <w:color w:val="FF0000"/>
          <w:spacing w:val="22"/>
          <w:szCs w:val="32"/>
        </w:rPr>
        <w:t xml:space="preserve"> </w:t>
      </w:r>
      <w:r w:rsidRPr="00735155">
        <w:rPr>
          <w:rFonts w:eastAsia="Cambria" w:cs="Arial"/>
        </w:rPr>
        <w:t xml:space="preserve">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5B0BA0EF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A redação em </w:t>
      </w:r>
      <w:r w:rsidRPr="00735155">
        <w:rPr>
          <w:rFonts w:eastAsia="MS Gothic" w:cs="Times New Roman"/>
          <w:b/>
          <w:smallCaps/>
          <w:spacing w:val="20"/>
          <w:szCs w:val="32"/>
        </w:rPr>
        <w:t>preto</w:t>
      </w:r>
      <w:r w:rsidRPr="00735155">
        <w:rPr>
          <w:rFonts w:eastAsia="Cambria" w:cs="Arial"/>
        </w:rPr>
        <w:t xml:space="preserve"> consiste no que se espera ser invariável. Ela até pode sofrer modificações a depender do caso concreto, mas não são disposições feitas para variar.</w:t>
      </w:r>
    </w:p>
    <w:p w14:paraId="2DF37259" w14:textId="77777777" w:rsidR="006B5754" w:rsidRPr="006B5754" w:rsidRDefault="006B5754" w:rsidP="006B5754">
      <w:pPr>
        <w:pStyle w:val="Nvel1-Ttulo"/>
      </w:pPr>
      <w:r w:rsidRPr="006B5754">
        <w:t>Introdução</w:t>
      </w:r>
    </w:p>
    <w:p w14:paraId="6F769838" w14:textId="77777777" w:rsidR="006B5754" w:rsidRPr="006B5754" w:rsidRDefault="006B5754" w:rsidP="006B5754">
      <w:pPr>
        <w:pStyle w:val="Nvel2"/>
      </w:pPr>
      <w:r w:rsidRPr="006B5754">
        <w:t>O presente documento visa fornecer um guia detalhado e modelos práticos para a elaboração e aplicação do Instrumento de Medição de Resultados (IMR) em diversas modalidades de contratações administrativas. O IMR representa uma ferramenta essencial para a fiscalização contratual baseada em desempenho, alinhando os interesses da Administração Pública com a efetiva entrega de valor pelos contratados, em conformidade com os princípios da eficiência, economicidade e busca pelo melhor resultado.</w:t>
      </w:r>
    </w:p>
    <w:p w14:paraId="33BA9F05" w14:textId="77777777" w:rsidR="006B5754" w:rsidRPr="006B5754" w:rsidRDefault="006B5754" w:rsidP="006B5754">
      <w:pPr>
        <w:pStyle w:val="Nvel1-Ttulo2"/>
      </w:pPr>
      <w:r w:rsidRPr="006B5754">
        <w:t>Conceito e finalidade do IMR</w:t>
      </w:r>
    </w:p>
    <w:p w14:paraId="19735444" w14:textId="77777777" w:rsidR="006B5754" w:rsidRPr="006B5754" w:rsidRDefault="006B5754" w:rsidP="006B5754">
      <w:pPr>
        <w:pStyle w:val="Nvel2"/>
      </w:pPr>
      <w:r w:rsidRPr="006B5754">
        <w:t xml:space="preserve">O IMR é um conjunto de critérios e parâmetros objetivos, previamente estabelecidos no edital e no contrato, que permite à Administração Pública aferir o desempenho do contratado na execução do objeto contratual. Sua finalidade precípua é vincular o pagamento à qualidade e à quantidade dos serviços ou bens entregues, incentivando o cumprimento das metas e a </w:t>
      </w:r>
      <w:r w:rsidRPr="006B5754">
        <w:lastRenderedPageBreak/>
        <w:t>busca pela excelência, ao mesmo tempo em que oferece um mecanismo transparente e justo para a aplicação de glosas ou ajustes financeiros em caso de não conformidade.</w:t>
      </w:r>
    </w:p>
    <w:p w14:paraId="7874792F" w14:textId="77777777" w:rsidR="006B5754" w:rsidRPr="006B5754" w:rsidRDefault="006B5754" w:rsidP="006B5754">
      <w:pPr>
        <w:pStyle w:val="Nvel1-Ttulo2"/>
      </w:pPr>
      <w:r w:rsidRPr="006B5754">
        <w:t>Fundamento jurídico e justificativa de uso</w:t>
      </w:r>
    </w:p>
    <w:p w14:paraId="275A0107" w14:textId="77777777" w:rsidR="006B5754" w:rsidRPr="006B5754" w:rsidRDefault="006B5754" w:rsidP="006B5754">
      <w:pPr>
        <w:pStyle w:val="Nvel2"/>
      </w:pPr>
      <w:r w:rsidRPr="006B5754">
        <w:t>A Lei nº 14.133, de 1º de abril de 2021 (Nova Lei de Licitações e Contratos Administrativos) reforça a importância da gestão por resultados e da fiscalização contratual baseada em desempenho. O art. 117, III, da referida lei, ao tratar da fiscalização, preconiza a necessidade de acompanhamento da execução contratual de forma a assegurar o cumprimento das obrigações e a entrega dos resultados esperados. O IMR se alinha perfeitamente a essa diretriz, fornecendo a base objetiva para a avaliação do desempenho e a aplicação de sanções ou ajustes contratuais, conforme previsto nos arts. 137 e 138 da mesma lei.</w:t>
      </w:r>
    </w:p>
    <w:p w14:paraId="42E6343F" w14:textId="77777777" w:rsidR="006B5754" w:rsidRPr="006B5754" w:rsidRDefault="006B5754" w:rsidP="006B5754">
      <w:pPr>
        <w:pStyle w:val="Nvel2"/>
      </w:pPr>
      <w:r w:rsidRPr="006B5754">
        <w:t>A justificativa para o uso do IMR reside na necessidade de superar a fiscalização meramente formal, que se limita a verificar a presença de pessoal ou a execução de tarefas sem avaliar o impacto ou a qualidade do que foi entregue. Ao focar nos resultados, a Administração Pública garante que os recursos sejam empregados de forma mais eficaz, obtendo serviços e obras que realmente atendam às suas necessidades e às expectativas da sociedade.</w:t>
      </w:r>
    </w:p>
    <w:p w14:paraId="146F3266" w14:textId="77777777" w:rsidR="006B5754" w:rsidRPr="006B5754" w:rsidRDefault="006B5754" w:rsidP="006B5754">
      <w:pPr>
        <w:pStyle w:val="Nvel1-Ttulo2"/>
      </w:pPr>
      <w:r w:rsidRPr="006B5754">
        <w:t>Premissas de aplicação do IMR</w:t>
      </w:r>
    </w:p>
    <w:p w14:paraId="08ED40E9" w14:textId="77777777" w:rsidR="006B5754" w:rsidRPr="006B5754" w:rsidRDefault="006B5754" w:rsidP="006B5754">
      <w:pPr>
        <w:pStyle w:val="Nvel2"/>
      </w:pPr>
      <w:r w:rsidRPr="006B5754">
        <w:t>A aplicação do IMR é mais adequada e eficaz quando as seguintes premissas são observadas:</w:t>
      </w:r>
    </w:p>
    <w:p w14:paraId="10DFD38F" w14:textId="77777777" w:rsidR="006B5754" w:rsidRPr="006B5754" w:rsidRDefault="006B5754" w:rsidP="006B5754">
      <w:pPr>
        <w:pStyle w:val="Nvel3"/>
      </w:pPr>
      <w:r w:rsidRPr="006B5754">
        <w:t>Objetividade: Os indicadores devem ser claros, mensuráveis e passíveis de verificação por terceiros.</w:t>
      </w:r>
    </w:p>
    <w:p w14:paraId="75C3CF2A" w14:textId="77777777" w:rsidR="006B5754" w:rsidRPr="006B5754" w:rsidRDefault="006B5754" w:rsidP="006B5754">
      <w:pPr>
        <w:pStyle w:val="Nvel3"/>
      </w:pPr>
      <w:r w:rsidRPr="006B5754">
        <w:t>Mensurabilidade: O desempenho deve ser quantificável ou qualitativamente avaliável por critérios objetivos.</w:t>
      </w:r>
    </w:p>
    <w:p w14:paraId="73EF83A1" w14:textId="77777777" w:rsidR="006B5754" w:rsidRPr="006B5754" w:rsidRDefault="006B5754" w:rsidP="006B5754">
      <w:pPr>
        <w:pStyle w:val="Nvel3"/>
      </w:pPr>
      <w:r w:rsidRPr="006B5754">
        <w:t>Relevância: Os indicadores devem estar diretamente relacionados aos objetivos do contrato e ao valor que se espera obter.</w:t>
      </w:r>
    </w:p>
    <w:p w14:paraId="46999D9E" w14:textId="77777777" w:rsidR="006B5754" w:rsidRPr="006B5754" w:rsidRDefault="006B5754" w:rsidP="006B5754">
      <w:pPr>
        <w:pStyle w:val="Nvel3"/>
      </w:pPr>
      <w:r w:rsidRPr="006B5754">
        <w:t>Exequibilidade: A coleta de dados e a apuração dos resultados devem ser viáveis e não excessivamente onerosas.</w:t>
      </w:r>
    </w:p>
    <w:p w14:paraId="0E40800E" w14:textId="77777777" w:rsidR="006B5754" w:rsidRPr="006B5754" w:rsidRDefault="006B5754" w:rsidP="006B5754">
      <w:pPr>
        <w:pStyle w:val="Nvel3"/>
      </w:pPr>
      <w:r w:rsidRPr="006B5754">
        <w:t>Transparência: Os critérios de medição, as faixas de desempenho e as consequências (glosas/bônus) devem ser conhecidos por ambas as partes desde o início da contratação.</w:t>
      </w:r>
    </w:p>
    <w:p w14:paraId="5B7D61C4" w14:textId="77777777" w:rsidR="006B5754" w:rsidRPr="006B5754" w:rsidRDefault="006B5754" w:rsidP="006B5754">
      <w:pPr>
        <w:pStyle w:val="Nvel3"/>
      </w:pPr>
      <w:r w:rsidRPr="006B5754">
        <w:t>Adequação: O IMR deve ser adaptado à natureza e complexidade de cada objeto contratual.</w:t>
      </w:r>
    </w:p>
    <w:p w14:paraId="741C7D62" w14:textId="77777777" w:rsidR="006B5754" w:rsidRPr="006B5754" w:rsidRDefault="006B5754" w:rsidP="006B5754">
      <w:pPr>
        <w:pStyle w:val="Nvel2"/>
      </w:pPr>
      <w:r w:rsidRPr="006B5754">
        <w:lastRenderedPageBreak/>
        <w:t>O IMR é particularmente recomendado para contratos de prestação de serviços contínuos, onde a qualidade e a produtividade são fatores críticos e passíveis de variação ao longo do tempo. Em obras e serviços de engenharia, sua aplicação requer adaptações, complementando, e não substituindo, a fiscalização técnica tradicional.</w:t>
      </w:r>
    </w:p>
    <w:p w14:paraId="040308FF" w14:textId="77777777" w:rsidR="006B5754" w:rsidRPr="006B5754" w:rsidRDefault="006B5754" w:rsidP="006B5754">
      <w:pPr>
        <w:pStyle w:val="Nvel1-Ttulo"/>
      </w:pPr>
      <w:r w:rsidRPr="006B5754">
        <w:t>Estrutura Padrão do Instrumento de Medição de Resultados (IMR)</w:t>
      </w:r>
    </w:p>
    <w:p w14:paraId="037CE3CD" w14:textId="77777777" w:rsidR="006B5754" w:rsidRPr="006B5754" w:rsidRDefault="006B5754" w:rsidP="006B5754">
      <w:pPr>
        <w:pStyle w:val="Nvel2"/>
      </w:pPr>
      <w:r w:rsidRPr="006B5754">
        <w:t>A estrutura de um IMR deve ser robusta e contemplar todos os elementos necessários para uma avaliação clara e inequívoca do desempenho. Abaixo, apresenta-se uma estrutura padrão com a descrição de cada campo:</w:t>
      </w:r>
    </w:p>
    <w:tbl>
      <w:tblPr>
        <w:tblStyle w:val="TabeladeGrade1Clara"/>
        <w:tblW w:w="0" w:type="auto"/>
        <w:tblLook w:val="0000" w:firstRow="0" w:lastRow="0" w:firstColumn="0" w:lastColumn="0" w:noHBand="0" w:noVBand="0"/>
      </w:tblPr>
      <w:tblGrid>
        <w:gridCol w:w="2972"/>
        <w:gridCol w:w="6088"/>
      </w:tblGrid>
      <w:tr w:rsidR="006B5754" w:rsidRPr="006B5754" w14:paraId="0004EE06" w14:textId="77777777" w:rsidTr="006B5754">
        <w:tc>
          <w:tcPr>
            <w:tcW w:w="2972" w:type="dxa"/>
            <w:vAlign w:val="center"/>
          </w:tcPr>
          <w:p w14:paraId="693BD5AF" w14:textId="6EACB05A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Campo</w:t>
            </w:r>
          </w:p>
        </w:tc>
        <w:tc>
          <w:tcPr>
            <w:tcW w:w="6088" w:type="dxa"/>
            <w:vAlign w:val="center"/>
          </w:tcPr>
          <w:p w14:paraId="37818CD7" w14:textId="77777777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Descrição</w:t>
            </w:r>
          </w:p>
        </w:tc>
      </w:tr>
      <w:tr w:rsidR="006B5754" w:rsidRPr="006B5754" w14:paraId="29ED4F65" w14:textId="77777777" w:rsidTr="006B5754">
        <w:tc>
          <w:tcPr>
            <w:tcW w:w="2972" w:type="dxa"/>
            <w:vAlign w:val="center"/>
          </w:tcPr>
          <w:p w14:paraId="582C0E7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Objeto Contratual</w:t>
            </w:r>
          </w:p>
        </w:tc>
        <w:tc>
          <w:tcPr>
            <w:tcW w:w="6088" w:type="dxa"/>
            <w:vAlign w:val="center"/>
          </w:tcPr>
          <w:p w14:paraId="2D3373C6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Descrição sucinta do serviço ou etapa da obra a ser avaliada.</w:t>
            </w:r>
          </w:p>
        </w:tc>
      </w:tr>
      <w:tr w:rsidR="006B5754" w:rsidRPr="006B5754" w14:paraId="01979A8C" w14:textId="77777777" w:rsidTr="006B5754">
        <w:tc>
          <w:tcPr>
            <w:tcW w:w="2972" w:type="dxa"/>
            <w:vAlign w:val="center"/>
          </w:tcPr>
          <w:p w14:paraId="100B8EB7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Unidade de Medição</w:t>
            </w:r>
          </w:p>
        </w:tc>
        <w:tc>
          <w:tcPr>
            <w:tcW w:w="6088" w:type="dxa"/>
            <w:vAlign w:val="center"/>
          </w:tcPr>
          <w:p w14:paraId="266EBEB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Unidade de referência para o indicador (ex: % de conformidade, número de ocorrências, tempo médio, m²).</w:t>
            </w:r>
          </w:p>
        </w:tc>
      </w:tr>
      <w:tr w:rsidR="006B5754" w:rsidRPr="006B5754" w14:paraId="448EE864" w14:textId="77777777" w:rsidTr="006B5754">
        <w:tc>
          <w:tcPr>
            <w:tcW w:w="2972" w:type="dxa"/>
            <w:vAlign w:val="center"/>
          </w:tcPr>
          <w:p w14:paraId="3010B07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Indicador</w:t>
            </w:r>
          </w:p>
        </w:tc>
        <w:tc>
          <w:tcPr>
            <w:tcW w:w="6088" w:type="dxa"/>
            <w:vAlign w:val="center"/>
          </w:tcPr>
          <w:p w14:paraId="0B4DD91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Nome do indicador de desempenho a ser monitorado (ex: Índice de Qualidade, Prazo Médio de Atendimento).</w:t>
            </w:r>
          </w:p>
        </w:tc>
      </w:tr>
      <w:tr w:rsidR="006B5754" w:rsidRPr="006B5754" w14:paraId="6B194490" w14:textId="77777777" w:rsidTr="006B5754">
        <w:tc>
          <w:tcPr>
            <w:tcW w:w="2972" w:type="dxa"/>
            <w:vAlign w:val="center"/>
          </w:tcPr>
          <w:p w14:paraId="3976250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Fórmula de Apuração</w:t>
            </w:r>
          </w:p>
        </w:tc>
        <w:tc>
          <w:tcPr>
            <w:tcW w:w="6088" w:type="dxa"/>
            <w:vAlign w:val="center"/>
          </w:tcPr>
          <w:p w14:paraId="04772D8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Expressão matemática ou lógica para calcular o valor do indicador.</w:t>
            </w:r>
          </w:p>
        </w:tc>
      </w:tr>
      <w:tr w:rsidR="006B5754" w:rsidRPr="006B5754" w14:paraId="1DFA8C2E" w14:textId="77777777" w:rsidTr="006B5754">
        <w:tc>
          <w:tcPr>
            <w:tcW w:w="2972" w:type="dxa"/>
            <w:vAlign w:val="center"/>
          </w:tcPr>
          <w:p w14:paraId="436849F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Frequência de Medição</w:t>
            </w:r>
          </w:p>
        </w:tc>
        <w:tc>
          <w:tcPr>
            <w:tcW w:w="6088" w:type="dxa"/>
            <w:vAlign w:val="center"/>
          </w:tcPr>
          <w:p w14:paraId="12E95F52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Periodicidade com que o indicador será apurado (ex: diária, semanal, mensal, por etapa).</w:t>
            </w:r>
          </w:p>
        </w:tc>
      </w:tr>
      <w:tr w:rsidR="006B5754" w:rsidRPr="006B5754" w14:paraId="14B8AD2C" w14:textId="77777777" w:rsidTr="006B5754">
        <w:tc>
          <w:tcPr>
            <w:tcW w:w="2972" w:type="dxa"/>
            <w:vAlign w:val="center"/>
          </w:tcPr>
          <w:p w14:paraId="2FE08DD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Fonte de Verificação</w:t>
            </w:r>
          </w:p>
        </w:tc>
        <w:tc>
          <w:tcPr>
            <w:tcW w:w="6088" w:type="dxa"/>
            <w:vAlign w:val="center"/>
          </w:tcPr>
          <w:p w14:paraId="54AD3AE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Documentos, sistemas ou registros onde os dados para apuração do indicador podem ser encontrados.</w:t>
            </w:r>
          </w:p>
        </w:tc>
      </w:tr>
      <w:tr w:rsidR="006B5754" w:rsidRPr="006B5754" w14:paraId="66B82771" w14:textId="77777777" w:rsidTr="006B5754">
        <w:tc>
          <w:tcPr>
            <w:tcW w:w="2972" w:type="dxa"/>
            <w:vAlign w:val="center"/>
          </w:tcPr>
          <w:p w14:paraId="0BD825E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Responsável pela Aferição</w:t>
            </w:r>
          </w:p>
        </w:tc>
        <w:tc>
          <w:tcPr>
            <w:tcW w:w="6088" w:type="dxa"/>
            <w:vAlign w:val="center"/>
          </w:tcPr>
          <w:p w14:paraId="7E323214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Setor ou agente da Administração Pública encarregado de coletar os dados e calcular o indicador.</w:t>
            </w:r>
          </w:p>
        </w:tc>
      </w:tr>
      <w:tr w:rsidR="006B5754" w:rsidRPr="006B5754" w14:paraId="2D075578" w14:textId="77777777" w:rsidTr="006B5754">
        <w:tc>
          <w:tcPr>
            <w:tcW w:w="2972" w:type="dxa"/>
            <w:vAlign w:val="center"/>
          </w:tcPr>
          <w:p w14:paraId="41CE15C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Faixa de Desempenho</w:t>
            </w:r>
          </w:p>
        </w:tc>
        <w:tc>
          <w:tcPr>
            <w:tcW w:w="6088" w:type="dxa"/>
            <w:vAlign w:val="center"/>
          </w:tcPr>
          <w:p w14:paraId="1A25890C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Intervalos de valores do indicador que correspondem a diferentes níveis de desempenho (ex: Excelente, Satisfatório, Regular, Insatisfatório).</w:t>
            </w:r>
          </w:p>
        </w:tc>
      </w:tr>
      <w:tr w:rsidR="006B5754" w:rsidRPr="006B5754" w14:paraId="05A850CC" w14:textId="77777777" w:rsidTr="006B5754">
        <w:tc>
          <w:tcPr>
            <w:tcW w:w="2972" w:type="dxa"/>
            <w:vAlign w:val="center"/>
          </w:tcPr>
          <w:p w14:paraId="0D66BAB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Pontuação / Peso</w:t>
            </w:r>
          </w:p>
        </w:tc>
        <w:tc>
          <w:tcPr>
            <w:tcW w:w="6088" w:type="dxa"/>
            <w:vAlign w:val="center"/>
          </w:tcPr>
          <w:p w14:paraId="39156AA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Valor atribuído a cada faixa de desempenho ou peso do indicador no cálculo da glosa total.</w:t>
            </w:r>
          </w:p>
        </w:tc>
      </w:tr>
      <w:tr w:rsidR="006B5754" w:rsidRPr="006B5754" w14:paraId="00A34370" w14:textId="77777777" w:rsidTr="006B5754">
        <w:tc>
          <w:tcPr>
            <w:tcW w:w="2972" w:type="dxa"/>
            <w:vAlign w:val="center"/>
          </w:tcPr>
          <w:p w14:paraId="25305F5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Glosa / Ajuste Financeiro</w:t>
            </w:r>
          </w:p>
        </w:tc>
        <w:tc>
          <w:tcPr>
            <w:tcW w:w="6088" w:type="dxa"/>
            <w:vAlign w:val="center"/>
          </w:tcPr>
          <w:p w14:paraId="4BC5DC5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Percentual de abatimento sobre o valor da fatura ou do serviço medido, associado a cada faixa de desempenho insatisfatório.</w:t>
            </w:r>
          </w:p>
        </w:tc>
      </w:tr>
      <w:tr w:rsidR="006B5754" w:rsidRPr="006B5754" w14:paraId="4FD75E36" w14:textId="77777777" w:rsidTr="006B5754">
        <w:tc>
          <w:tcPr>
            <w:tcW w:w="2972" w:type="dxa"/>
            <w:vAlign w:val="center"/>
          </w:tcPr>
          <w:p w14:paraId="125ED1E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Providências Corretivas</w:t>
            </w:r>
          </w:p>
        </w:tc>
        <w:tc>
          <w:tcPr>
            <w:tcW w:w="6088" w:type="dxa"/>
            <w:vAlign w:val="center"/>
          </w:tcPr>
          <w:p w14:paraId="5AA6E62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Ações que o contratado deve implementar para corrigir as deficiências identificadas.</w:t>
            </w:r>
          </w:p>
        </w:tc>
      </w:tr>
      <w:tr w:rsidR="006B5754" w:rsidRPr="006B5754" w14:paraId="6718BBA8" w14:textId="77777777" w:rsidTr="006B5754">
        <w:tc>
          <w:tcPr>
            <w:tcW w:w="2972" w:type="dxa"/>
            <w:vAlign w:val="center"/>
          </w:tcPr>
          <w:p w14:paraId="1446141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lastRenderedPageBreak/>
              <w:t>Prazo para Saneamento</w:t>
            </w:r>
          </w:p>
        </w:tc>
        <w:tc>
          <w:tcPr>
            <w:tcW w:w="6088" w:type="dxa"/>
            <w:vAlign w:val="center"/>
          </w:tcPr>
          <w:p w14:paraId="5F7D5AFE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Período concedido ao contratado para implementar as providências corretivas.</w:t>
            </w:r>
          </w:p>
        </w:tc>
      </w:tr>
      <w:tr w:rsidR="006B5754" w:rsidRPr="006B5754" w14:paraId="0805D589" w14:textId="77777777" w:rsidTr="006B5754">
        <w:tc>
          <w:tcPr>
            <w:tcW w:w="2972" w:type="dxa"/>
            <w:vAlign w:val="center"/>
          </w:tcPr>
          <w:p w14:paraId="3AE3FFC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Observações</w:t>
            </w:r>
          </w:p>
        </w:tc>
        <w:tc>
          <w:tcPr>
            <w:tcW w:w="6088" w:type="dxa"/>
            <w:vAlign w:val="center"/>
          </w:tcPr>
          <w:p w14:paraId="57D7AC9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Informações adicionais relevantes para a compreensão e aplicação do indicador.</w:t>
            </w:r>
          </w:p>
        </w:tc>
      </w:tr>
    </w:tbl>
    <w:p w14:paraId="3B94EF5F" w14:textId="7FA76999" w:rsidR="006B5754" w:rsidRPr="006B5754" w:rsidRDefault="006B5754" w:rsidP="006B5754">
      <w:pPr>
        <w:pStyle w:val="Nvel1-Ttulo"/>
      </w:pPr>
      <w:r w:rsidRPr="006B5754">
        <w:t xml:space="preserve">IMR para Contratos de </w:t>
      </w:r>
      <w:r w:rsidR="00CB483D" w:rsidRPr="00CB483D">
        <w:t>Serviços Sem Dedicação Exclusiva de Mão de Obra</w:t>
      </w:r>
    </w:p>
    <w:p w14:paraId="72788452" w14:textId="529894DB" w:rsidR="006B5754" w:rsidRDefault="005A18E3" w:rsidP="005A18E3">
      <w:pPr>
        <w:pStyle w:val="Nvel2"/>
      </w:pPr>
      <w:r w:rsidRPr="005A18E3">
        <w:t>Para contratos de serviços sem dedicação exclusiva de mão de obra (ex: desenvolvimento de software, consultoria, manutenção de equipamentos, serviços de TI), o IMR deve focar na entrega de produtos ou resultados específicos, na conformidade com requisitos técnicos e funcionais, e no cumprimento de prazos e níveis de serviço (SLA).</w:t>
      </w:r>
    </w:p>
    <w:p w14:paraId="41B84390" w14:textId="77777777" w:rsidR="00CB483D" w:rsidRDefault="00CB483D" w:rsidP="00CB483D">
      <w:pPr>
        <w:pStyle w:val="Nvel1-Ttulo"/>
      </w:pPr>
      <w:r>
        <w:t>Imr a ser aplicado no contrato</w:t>
      </w:r>
    </w:p>
    <w:p w14:paraId="5504CF57" w14:textId="77777777" w:rsidR="00CB483D" w:rsidRPr="006B5754" w:rsidRDefault="00CB483D" w:rsidP="00CB483D">
      <w:pPr>
        <w:pStyle w:val="Nvel2"/>
      </w:pPr>
      <w:r w:rsidRPr="008C62B8">
        <w:t>A tabela a seguir apresenta os indicadores, critérios de avaliação e parâmetros de glosa aplicáveis a</w:t>
      </w:r>
      <w:r>
        <w:t>o contrato</w:t>
      </w:r>
      <w:r w:rsidRPr="008C62B8">
        <w:t>, permitindo a aferição objetiva do desempenho contratual e a vinculação do pagamento à efetiva entrega do resultado esperado</w:t>
      </w:r>
      <w:r>
        <w:t>:</w:t>
      </w:r>
    </w:p>
    <w:p w14:paraId="4B239AB1" w14:textId="77777777" w:rsidR="00CB483D" w:rsidRPr="006B5754" w:rsidRDefault="00CB483D" w:rsidP="00CB483D">
      <w:pPr>
        <w:pStyle w:val="Nvel2"/>
      </w:pPr>
      <w:r w:rsidRPr="00B6363F">
        <w:t xml:space="preserve">A tabela a seguir apresenta os indicadores, critérios de avaliação e parâmetros de glosa aplicáveis ao </w:t>
      </w:r>
      <w:r>
        <w:t>contrato</w:t>
      </w:r>
      <w:r w:rsidRPr="00B6363F">
        <w:t>, permitindo a aferição objetiva do desempenho contratual e a vinculação do pagamento à efetiva entrega do resultado esperado</w:t>
      </w:r>
      <w:r>
        <w:t>:</w:t>
      </w:r>
    </w:p>
    <w:tbl>
      <w:tblPr>
        <w:tblStyle w:val="Tabelacomgrade"/>
        <w:tblW w:w="0" w:type="auto"/>
        <w:tblLayout w:type="fixed"/>
        <w:tblLook w:val="0000" w:firstRow="0" w:lastRow="0" w:firstColumn="0" w:lastColumn="0" w:noHBand="0" w:noVBand="0"/>
      </w:tblPr>
      <w:tblGrid>
        <w:gridCol w:w="2405"/>
        <w:gridCol w:w="851"/>
        <w:gridCol w:w="2268"/>
        <w:gridCol w:w="1377"/>
        <w:gridCol w:w="1376"/>
        <w:gridCol w:w="783"/>
      </w:tblGrid>
      <w:tr w:rsidR="0086672C" w:rsidRPr="00DA7E00" w14:paraId="7833EDBA" w14:textId="77777777" w:rsidTr="00F013EB">
        <w:tc>
          <w:tcPr>
            <w:tcW w:w="2405" w:type="dxa"/>
            <w:vAlign w:val="center"/>
          </w:tcPr>
          <w:p w14:paraId="0C875101" w14:textId="77777777" w:rsidR="006B5754" w:rsidRPr="006B5754" w:rsidRDefault="006B5754" w:rsidP="0086672C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Indicador</w:t>
            </w:r>
          </w:p>
        </w:tc>
        <w:tc>
          <w:tcPr>
            <w:tcW w:w="851" w:type="dxa"/>
            <w:vAlign w:val="center"/>
          </w:tcPr>
          <w:p w14:paraId="3E3B487D" w14:textId="214F4DE6" w:rsidR="006B5754" w:rsidRPr="006B5754" w:rsidRDefault="0086672C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>
              <w:rPr>
                <w:b/>
                <w:bCs/>
                <w:smallCaps/>
              </w:rPr>
              <w:t>Und.</w:t>
            </w:r>
          </w:p>
        </w:tc>
        <w:tc>
          <w:tcPr>
            <w:tcW w:w="2268" w:type="dxa"/>
            <w:vAlign w:val="center"/>
          </w:tcPr>
          <w:p w14:paraId="0358B4F0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Fórmula</w:t>
            </w:r>
          </w:p>
        </w:tc>
        <w:tc>
          <w:tcPr>
            <w:tcW w:w="1377" w:type="dxa"/>
            <w:vAlign w:val="center"/>
          </w:tcPr>
          <w:p w14:paraId="7D220046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Frequência</w:t>
            </w:r>
          </w:p>
        </w:tc>
        <w:tc>
          <w:tcPr>
            <w:tcW w:w="1376" w:type="dxa"/>
            <w:vAlign w:val="center"/>
          </w:tcPr>
          <w:p w14:paraId="1C717A43" w14:textId="77777777" w:rsidR="006B5754" w:rsidRPr="006B5754" w:rsidRDefault="006B5754" w:rsidP="0086672C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Faixa de Desempenho</w:t>
            </w:r>
          </w:p>
        </w:tc>
        <w:tc>
          <w:tcPr>
            <w:tcW w:w="783" w:type="dxa"/>
            <w:vAlign w:val="center"/>
          </w:tcPr>
          <w:p w14:paraId="486C277E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Glosa (%)</w:t>
            </w:r>
          </w:p>
        </w:tc>
      </w:tr>
      <w:tr w:rsidR="005A18E3" w:rsidRPr="006B5754" w14:paraId="4ECC8F04" w14:textId="77777777" w:rsidTr="00F013EB">
        <w:trPr>
          <w:trHeight w:val="555"/>
        </w:trPr>
        <w:tc>
          <w:tcPr>
            <w:tcW w:w="2405" w:type="dxa"/>
            <w:vMerge w:val="restart"/>
            <w:vAlign w:val="center"/>
          </w:tcPr>
          <w:p w14:paraId="141AD2D6" w14:textId="4FDE0883" w:rsidR="005A18E3" w:rsidRPr="005A18E3" w:rsidRDefault="005A18E3" w:rsidP="003C0D3B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Índice de Conformidade da Entrega (ICE)</w:t>
            </w:r>
          </w:p>
        </w:tc>
        <w:tc>
          <w:tcPr>
            <w:tcW w:w="851" w:type="dxa"/>
            <w:vMerge w:val="restart"/>
            <w:vAlign w:val="center"/>
          </w:tcPr>
          <w:p w14:paraId="641707E0" w14:textId="7979B0C1" w:rsidR="005A18E3" w:rsidRPr="005A18E3" w:rsidRDefault="005A18E3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%</w:t>
            </w:r>
          </w:p>
        </w:tc>
        <w:tc>
          <w:tcPr>
            <w:tcW w:w="2268" w:type="dxa"/>
            <w:vMerge w:val="restart"/>
            <w:vAlign w:val="center"/>
          </w:tcPr>
          <w:p w14:paraId="6295F5B0" w14:textId="3833340E" w:rsidR="005A18E3" w:rsidRPr="005A18E3" w:rsidRDefault="005A18E3" w:rsidP="003C0D3B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5A18E3">
              <w:rPr>
                <w:color w:val="EE0000"/>
              </w:rPr>
              <w:t>(Nº de entregas sem não conformidades / Nº total de entregas) x 100</w:t>
            </w:r>
          </w:p>
        </w:tc>
        <w:tc>
          <w:tcPr>
            <w:tcW w:w="1377" w:type="dxa"/>
            <w:vMerge w:val="restart"/>
            <w:vAlign w:val="center"/>
          </w:tcPr>
          <w:p w14:paraId="2DFF4E8F" w14:textId="604A7D78" w:rsidR="005A18E3" w:rsidRPr="005A18E3" w:rsidRDefault="005A18E3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Por entrega/Mensal</w:t>
            </w:r>
          </w:p>
        </w:tc>
        <w:tc>
          <w:tcPr>
            <w:tcW w:w="1376" w:type="dxa"/>
            <w:vAlign w:val="center"/>
          </w:tcPr>
          <w:p w14:paraId="367593D3" w14:textId="277794A4" w:rsidR="005A18E3" w:rsidRPr="006B5754" w:rsidRDefault="005A18E3" w:rsidP="005A18E3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100</w:t>
            </w:r>
            <w:r w:rsidRPr="006B5754">
              <w:rPr>
                <w:color w:val="EE0000"/>
              </w:rPr>
              <w:t>%</w:t>
            </w:r>
          </w:p>
        </w:tc>
        <w:tc>
          <w:tcPr>
            <w:tcW w:w="783" w:type="dxa"/>
            <w:vAlign w:val="center"/>
          </w:tcPr>
          <w:p w14:paraId="57B4D141" w14:textId="4955C4E9" w:rsidR="005A18E3" w:rsidRPr="006B5754" w:rsidRDefault="005A18E3" w:rsidP="005A18E3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444B91" w:rsidRPr="006B5754" w14:paraId="297419C5" w14:textId="77777777" w:rsidTr="00F013EB">
        <w:trPr>
          <w:trHeight w:val="675"/>
        </w:trPr>
        <w:tc>
          <w:tcPr>
            <w:tcW w:w="2405" w:type="dxa"/>
            <w:vMerge/>
            <w:vAlign w:val="center"/>
          </w:tcPr>
          <w:p w14:paraId="6E7EB41B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0DD055CA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0C77E21B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E29D05E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52B8695" w14:textId="330B5596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95-9</w:t>
            </w:r>
            <w:r w:rsidR="005A18E3">
              <w:rPr>
                <w:color w:val="EE0000"/>
              </w:rPr>
              <w:t>9</w:t>
            </w:r>
            <w:r w:rsidRPr="006B5754">
              <w:rPr>
                <w:color w:val="EE0000"/>
              </w:rPr>
              <w:t>,9%</w:t>
            </w:r>
          </w:p>
        </w:tc>
        <w:tc>
          <w:tcPr>
            <w:tcW w:w="783" w:type="dxa"/>
            <w:vAlign w:val="center"/>
          </w:tcPr>
          <w:p w14:paraId="01D6D348" w14:textId="0CC08649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44B91" w:rsidRPr="006B5754" w14:paraId="4A8DE9AC" w14:textId="77777777" w:rsidTr="00F013EB">
        <w:trPr>
          <w:trHeight w:val="615"/>
        </w:trPr>
        <w:tc>
          <w:tcPr>
            <w:tcW w:w="2405" w:type="dxa"/>
            <w:vMerge/>
            <w:vAlign w:val="center"/>
          </w:tcPr>
          <w:p w14:paraId="63A4945C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3BDC85FB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160CD1FE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04E0AEA8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3A990B0B" w14:textId="56FE9A36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90-94,9%</w:t>
            </w:r>
          </w:p>
        </w:tc>
        <w:tc>
          <w:tcPr>
            <w:tcW w:w="783" w:type="dxa"/>
            <w:vAlign w:val="center"/>
          </w:tcPr>
          <w:p w14:paraId="1C497EB0" w14:textId="0DA14282" w:rsidR="00444B91" w:rsidRPr="00CB450C" w:rsidRDefault="005A18E3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2</w:t>
            </w:r>
            <w:r w:rsidR="00444B91" w:rsidRPr="00CB450C">
              <w:rPr>
                <w:color w:val="EE0000"/>
              </w:rPr>
              <w:t>%</w:t>
            </w:r>
          </w:p>
        </w:tc>
      </w:tr>
      <w:tr w:rsidR="00444B91" w:rsidRPr="006B5754" w14:paraId="7A99D6A4" w14:textId="77777777" w:rsidTr="00F013EB">
        <w:trPr>
          <w:trHeight w:val="765"/>
        </w:trPr>
        <w:tc>
          <w:tcPr>
            <w:tcW w:w="2405" w:type="dxa"/>
            <w:vMerge/>
            <w:vAlign w:val="center"/>
          </w:tcPr>
          <w:p w14:paraId="382B9DDA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7C5392C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2D31D8CC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C56C62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7FBA66B" w14:textId="006EF957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&lt; 90%</w:t>
            </w:r>
          </w:p>
        </w:tc>
        <w:tc>
          <w:tcPr>
            <w:tcW w:w="783" w:type="dxa"/>
            <w:vAlign w:val="center"/>
          </w:tcPr>
          <w:p w14:paraId="6C2C4D2E" w14:textId="3DCF3E5F" w:rsidR="00444B91" w:rsidRPr="00CB450C" w:rsidRDefault="005A18E3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5</w:t>
            </w:r>
            <w:r w:rsidR="00444B91" w:rsidRPr="00CB450C">
              <w:rPr>
                <w:color w:val="EE0000"/>
              </w:rPr>
              <w:t>%</w:t>
            </w:r>
          </w:p>
        </w:tc>
      </w:tr>
      <w:tr w:rsidR="005A18E3" w:rsidRPr="006B5754" w14:paraId="2901351F" w14:textId="77777777" w:rsidTr="00F013EB">
        <w:trPr>
          <w:trHeight w:val="459"/>
        </w:trPr>
        <w:tc>
          <w:tcPr>
            <w:tcW w:w="2405" w:type="dxa"/>
            <w:vMerge w:val="restart"/>
            <w:vAlign w:val="center"/>
          </w:tcPr>
          <w:p w14:paraId="7867C047" w14:textId="389C19C6" w:rsidR="005A18E3" w:rsidRPr="005A18E3" w:rsidRDefault="005A18E3" w:rsidP="003C0D3B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Prazo Médio de Atendimento de Chamados (PMAC)</w:t>
            </w:r>
          </w:p>
        </w:tc>
        <w:tc>
          <w:tcPr>
            <w:tcW w:w="851" w:type="dxa"/>
            <w:vMerge w:val="restart"/>
            <w:vAlign w:val="center"/>
          </w:tcPr>
          <w:p w14:paraId="3F485DDA" w14:textId="5EA9DC83" w:rsidR="005A18E3" w:rsidRPr="005A18E3" w:rsidRDefault="005A18E3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Horas</w:t>
            </w:r>
          </w:p>
        </w:tc>
        <w:tc>
          <w:tcPr>
            <w:tcW w:w="2268" w:type="dxa"/>
            <w:vMerge w:val="restart"/>
            <w:vAlign w:val="center"/>
          </w:tcPr>
          <w:p w14:paraId="564549FD" w14:textId="2B0649D2" w:rsidR="005A18E3" w:rsidRPr="005A18E3" w:rsidRDefault="005A18E3" w:rsidP="003C0D3B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5A18E3">
              <w:rPr>
                <w:color w:val="EE0000"/>
              </w:rPr>
              <w:t>Soma dos tempos de atendimento / Nº de chamados atendidos</w:t>
            </w:r>
          </w:p>
        </w:tc>
        <w:tc>
          <w:tcPr>
            <w:tcW w:w="1377" w:type="dxa"/>
            <w:vMerge w:val="restart"/>
            <w:vAlign w:val="center"/>
          </w:tcPr>
          <w:p w14:paraId="3B3447ED" w14:textId="6C019A26" w:rsidR="005A18E3" w:rsidRPr="005A18E3" w:rsidRDefault="005A18E3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Mensal</w:t>
            </w:r>
          </w:p>
        </w:tc>
        <w:tc>
          <w:tcPr>
            <w:tcW w:w="1376" w:type="dxa"/>
            <w:vAlign w:val="center"/>
          </w:tcPr>
          <w:p w14:paraId="0563BD9F" w14:textId="793DD989" w:rsidR="005A18E3" w:rsidRPr="00CB450C" w:rsidRDefault="005A18E3" w:rsidP="005A18E3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 xml:space="preserve"> </w:t>
            </w:r>
            <w:r w:rsidRPr="005A18E3">
              <w:rPr>
                <w:color w:val="EE0000"/>
              </w:rPr>
              <w:t>≤ 4h</w:t>
            </w:r>
          </w:p>
        </w:tc>
        <w:tc>
          <w:tcPr>
            <w:tcW w:w="783" w:type="dxa"/>
            <w:vAlign w:val="center"/>
          </w:tcPr>
          <w:p w14:paraId="35D0DED4" w14:textId="017C5746" w:rsidR="005A18E3" w:rsidRPr="006B5754" w:rsidRDefault="005A18E3" w:rsidP="005A18E3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615E7E" w:rsidRPr="006B5754" w14:paraId="0F99723D" w14:textId="77777777" w:rsidTr="00F013EB">
        <w:trPr>
          <w:trHeight w:val="457"/>
        </w:trPr>
        <w:tc>
          <w:tcPr>
            <w:tcW w:w="2405" w:type="dxa"/>
            <w:vMerge/>
            <w:vAlign w:val="center"/>
          </w:tcPr>
          <w:p w14:paraId="0624E8E9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5107E5BF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3705A595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EAE0CC2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72A267AE" w14:textId="537F7A34" w:rsidR="00615E7E" w:rsidRPr="00CB450C" w:rsidRDefault="005A18E3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4,1-8h</w:t>
            </w:r>
          </w:p>
        </w:tc>
        <w:tc>
          <w:tcPr>
            <w:tcW w:w="783" w:type="dxa"/>
            <w:vAlign w:val="center"/>
          </w:tcPr>
          <w:p w14:paraId="262C6132" w14:textId="1D37D1E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615E7E" w:rsidRPr="006B5754" w14:paraId="1ACC34AE" w14:textId="77777777" w:rsidTr="00F013EB">
        <w:trPr>
          <w:trHeight w:val="457"/>
        </w:trPr>
        <w:tc>
          <w:tcPr>
            <w:tcW w:w="2405" w:type="dxa"/>
            <w:vMerge/>
            <w:vAlign w:val="center"/>
          </w:tcPr>
          <w:p w14:paraId="0CC0550C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498B5A64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02178E8A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5CC4004C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4F33886B" w14:textId="06EF1DBB" w:rsidR="00615E7E" w:rsidRPr="00CB450C" w:rsidRDefault="005A18E3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5A18E3">
              <w:rPr>
                <w:color w:val="EE0000"/>
              </w:rPr>
              <w:t>8,1-16h</w:t>
            </w:r>
          </w:p>
        </w:tc>
        <w:tc>
          <w:tcPr>
            <w:tcW w:w="783" w:type="dxa"/>
            <w:vAlign w:val="center"/>
          </w:tcPr>
          <w:p w14:paraId="664C5E58" w14:textId="70C2D59A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1%</w:t>
            </w:r>
          </w:p>
        </w:tc>
      </w:tr>
      <w:tr w:rsidR="00615E7E" w:rsidRPr="006B5754" w14:paraId="3B6BAD80" w14:textId="77777777" w:rsidTr="00F013EB">
        <w:trPr>
          <w:trHeight w:val="457"/>
        </w:trPr>
        <w:tc>
          <w:tcPr>
            <w:tcW w:w="2405" w:type="dxa"/>
            <w:vMerge/>
            <w:vAlign w:val="center"/>
          </w:tcPr>
          <w:p w14:paraId="270DC177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55C3CC4B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53813FD2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207A4EAE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19F0BF3" w14:textId="098DEB16" w:rsidR="00615E7E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&gt;</w:t>
            </w:r>
            <w:r w:rsidR="00615E7E" w:rsidRPr="006B5754">
              <w:rPr>
                <w:color w:val="EE0000"/>
              </w:rPr>
              <w:t xml:space="preserve"> </w:t>
            </w:r>
            <w:r w:rsidR="005A18E3" w:rsidRPr="005A18E3">
              <w:rPr>
                <w:color w:val="EE0000"/>
              </w:rPr>
              <w:t>16h</w:t>
            </w:r>
          </w:p>
        </w:tc>
        <w:tc>
          <w:tcPr>
            <w:tcW w:w="783" w:type="dxa"/>
            <w:vAlign w:val="center"/>
          </w:tcPr>
          <w:p w14:paraId="0F293890" w14:textId="147FAE83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3%</w:t>
            </w:r>
          </w:p>
        </w:tc>
      </w:tr>
      <w:tr w:rsidR="003C0D3B" w:rsidRPr="006B5754" w14:paraId="462AA8D0" w14:textId="77777777" w:rsidTr="00F013EB">
        <w:trPr>
          <w:trHeight w:val="429"/>
        </w:trPr>
        <w:tc>
          <w:tcPr>
            <w:tcW w:w="2405" w:type="dxa"/>
            <w:vMerge w:val="restart"/>
            <w:vAlign w:val="center"/>
          </w:tcPr>
          <w:p w14:paraId="284B6EC9" w14:textId="74609848" w:rsidR="003C0D3B" w:rsidRPr="003C0D3B" w:rsidRDefault="003C0D3B" w:rsidP="003C0D3B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 xml:space="preserve">Taxa de Retrabalho </w:t>
            </w:r>
            <w:r w:rsidRPr="003C0D3B">
              <w:rPr>
                <w:color w:val="EE0000"/>
              </w:rPr>
              <w:lastRenderedPageBreak/>
              <w:t>(TR)</w:t>
            </w:r>
          </w:p>
        </w:tc>
        <w:tc>
          <w:tcPr>
            <w:tcW w:w="851" w:type="dxa"/>
            <w:vMerge w:val="restart"/>
            <w:vAlign w:val="center"/>
          </w:tcPr>
          <w:p w14:paraId="70E5E14B" w14:textId="3569AB02" w:rsidR="003C0D3B" w:rsidRPr="003C0D3B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lastRenderedPageBreak/>
              <w:t>%</w:t>
            </w:r>
          </w:p>
        </w:tc>
        <w:tc>
          <w:tcPr>
            <w:tcW w:w="2268" w:type="dxa"/>
            <w:vMerge w:val="restart"/>
            <w:vAlign w:val="center"/>
          </w:tcPr>
          <w:p w14:paraId="3E00F701" w14:textId="69F4A6A8" w:rsidR="003C0D3B" w:rsidRPr="003C0D3B" w:rsidRDefault="003C0D3B" w:rsidP="003C0D3B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3C0D3B">
              <w:rPr>
                <w:color w:val="EE0000"/>
              </w:rPr>
              <w:t xml:space="preserve">(Nº de entregas que </w:t>
            </w:r>
            <w:r w:rsidRPr="003C0D3B">
              <w:rPr>
                <w:color w:val="EE0000"/>
              </w:rPr>
              <w:lastRenderedPageBreak/>
              <w:t>necessitaram retrabalho / Nº total de entregas) x 100</w:t>
            </w:r>
          </w:p>
        </w:tc>
        <w:tc>
          <w:tcPr>
            <w:tcW w:w="1377" w:type="dxa"/>
            <w:vMerge w:val="restart"/>
            <w:vAlign w:val="center"/>
          </w:tcPr>
          <w:p w14:paraId="4610A579" w14:textId="4AAE50D5" w:rsidR="003C0D3B" w:rsidRPr="003C0D3B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lastRenderedPageBreak/>
              <w:t>Mensal</w:t>
            </w:r>
          </w:p>
        </w:tc>
        <w:tc>
          <w:tcPr>
            <w:tcW w:w="1376" w:type="dxa"/>
            <w:vAlign w:val="center"/>
          </w:tcPr>
          <w:p w14:paraId="4466D865" w14:textId="12433B2D" w:rsidR="003C0D3B" w:rsidRPr="00CB450C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</w:t>
            </w:r>
            <w:r w:rsidRPr="006B5754">
              <w:rPr>
                <w:color w:val="EE0000"/>
              </w:rPr>
              <w:t>%</w:t>
            </w:r>
          </w:p>
        </w:tc>
        <w:tc>
          <w:tcPr>
            <w:tcW w:w="783" w:type="dxa"/>
            <w:vAlign w:val="center"/>
          </w:tcPr>
          <w:p w14:paraId="7734F868" w14:textId="32DB9849" w:rsidR="003C0D3B" w:rsidRPr="006B5754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73203E" w:rsidRPr="006B5754" w14:paraId="2EC3DDDB" w14:textId="77777777" w:rsidTr="00F013EB">
        <w:trPr>
          <w:trHeight w:val="427"/>
        </w:trPr>
        <w:tc>
          <w:tcPr>
            <w:tcW w:w="2405" w:type="dxa"/>
            <w:vMerge/>
            <w:vAlign w:val="center"/>
          </w:tcPr>
          <w:p w14:paraId="54BEA6F0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31171B0E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5E75C811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789282A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41B8A1A" w14:textId="15750392" w:rsidR="0073203E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0,1-2</w:t>
            </w:r>
            <w:r w:rsidR="001F1E8B" w:rsidRPr="006B5754">
              <w:rPr>
                <w:color w:val="EE0000"/>
              </w:rPr>
              <w:t>%</w:t>
            </w:r>
          </w:p>
        </w:tc>
        <w:tc>
          <w:tcPr>
            <w:tcW w:w="783" w:type="dxa"/>
            <w:vAlign w:val="center"/>
          </w:tcPr>
          <w:p w14:paraId="13D6B3FE" w14:textId="433C97BA" w:rsidR="0073203E" w:rsidRPr="00CB450C" w:rsidRDefault="001F1E8B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73203E" w:rsidRPr="006B5754" w14:paraId="2F5FA646" w14:textId="77777777" w:rsidTr="00F013EB">
        <w:trPr>
          <w:trHeight w:val="427"/>
        </w:trPr>
        <w:tc>
          <w:tcPr>
            <w:tcW w:w="2405" w:type="dxa"/>
            <w:vMerge/>
            <w:vAlign w:val="center"/>
          </w:tcPr>
          <w:p w14:paraId="2B22F872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77A1F7BD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1BAA150F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6F69C9D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F700819" w14:textId="040BA040" w:rsidR="0073203E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2,1-5%</w:t>
            </w:r>
          </w:p>
        </w:tc>
        <w:tc>
          <w:tcPr>
            <w:tcW w:w="783" w:type="dxa"/>
            <w:vAlign w:val="center"/>
          </w:tcPr>
          <w:p w14:paraId="1DE32DC5" w14:textId="51792C53" w:rsidR="0073203E" w:rsidRPr="00CB450C" w:rsidRDefault="003C0D3B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="001F1E8B" w:rsidRPr="00CB450C">
              <w:rPr>
                <w:color w:val="EE0000"/>
              </w:rPr>
              <w:t>,5%</w:t>
            </w:r>
          </w:p>
        </w:tc>
      </w:tr>
      <w:tr w:rsidR="0073203E" w:rsidRPr="006B5754" w14:paraId="666AE505" w14:textId="77777777" w:rsidTr="00F013EB">
        <w:trPr>
          <w:trHeight w:val="427"/>
        </w:trPr>
        <w:tc>
          <w:tcPr>
            <w:tcW w:w="2405" w:type="dxa"/>
            <w:vMerge/>
            <w:vAlign w:val="center"/>
          </w:tcPr>
          <w:p w14:paraId="037A9EC1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122904FE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4AB14490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0DA01C4F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F181877" w14:textId="1A341688" w:rsidR="0073203E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&gt; 5%</w:t>
            </w:r>
          </w:p>
        </w:tc>
        <w:tc>
          <w:tcPr>
            <w:tcW w:w="783" w:type="dxa"/>
            <w:vAlign w:val="center"/>
          </w:tcPr>
          <w:p w14:paraId="526ACDED" w14:textId="7AB52594" w:rsidR="0073203E" w:rsidRPr="00CB450C" w:rsidRDefault="003C0D3B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4%</w:t>
            </w:r>
          </w:p>
        </w:tc>
      </w:tr>
      <w:tr w:rsidR="003C0D3B" w:rsidRPr="006B5754" w14:paraId="2ECD96E3" w14:textId="77777777" w:rsidTr="00F013EB">
        <w:trPr>
          <w:trHeight w:val="501"/>
        </w:trPr>
        <w:tc>
          <w:tcPr>
            <w:tcW w:w="2405" w:type="dxa"/>
            <w:vMerge w:val="restart"/>
            <w:vAlign w:val="center"/>
          </w:tcPr>
          <w:p w14:paraId="71D96904" w14:textId="0414A03C" w:rsidR="003C0D3B" w:rsidRPr="003C0D3B" w:rsidRDefault="003C0D3B" w:rsidP="003C0D3B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Disponibilidade do Serviço/Sistema (DS)</w:t>
            </w:r>
          </w:p>
        </w:tc>
        <w:tc>
          <w:tcPr>
            <w:tcW w:w="851" w:type="dxa"/>
            <w:vMerge w:val="restart"/>
            <w:vAlign w:val="center"/>
          </w:tcPr>
          <w:p w14:paraId="3C9EB776" w14:textId="0117CE63" w:rsidR="003C0D3B" w:rsidRPr="003C0D3B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%</w:t>
            </w:r>
          </w:p>
        </w:tc>
        <w:tc>
          <w:tcPr>
            <w:tcW w:w="2268" w:type="dxa"/>
            <w:vMerge w:val="restart"/>
            <w:vAlign w:val="center"/>
          </w:tcPr>
          <w:p w14:paraId="2FF11132" w14:textId="28C0004E" w:rsidR="003C0D3B" w:rsidRPr="003C0D3B" w:rsidRDefault="003C0D3B" w:rsidP="003C0D3B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3C0D3B">
              <w:rPr>
                <w:color w:val="EE0000"/>
              </w:rPr>
              <w:t>(Tempo de serviço disponível / Tempo total do período) x 100</w:t>
            </w:r>
          </w:p>
        </w:tc>
        <w:tc>
          <w:tcPr>
            <w:tcW w:w="1377" w:type="dxa"/>
            <w:vMerge w:val="restart"/>
            <w:vAlign w:val="center"/>
          </w:tcPr>
          <w:p w14:paraId="4E2D7126" w14:textId="56636025" w:rsidR="003C0D3B" w:rsidRPr="003C0D3B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Mensal</w:t>
            </w:r>
          </w:p>
        </w:tc>
        <w:tc>
          <w:tcPr>
            <w:tcW w:w="1376" w:type="dxa"/>
            <w:vAlign w:val="center"/>
          </w:tcPr>
          <w:p w14:paraId="579C5423" w14:textId="6A297262" w:rsidR="003C0D3B" w:rsidRPr="00CB450C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≥ 99,9%</w:t>
            </w:r>
          </w:p>
        </w:tc>
        <w:tc>
          <w:tcPr>
            <w:tcW w:w="783" w:type="dxa"/>
            <w:vAlign w:val="center"/>
          </w:tcPr>
          <w:p w14:paraId="6C9F1AA1" w14:textId="1BBB971A" w:rsidR="003C0D3B" w:rsidRPr="006B5754" w:rsidRDefault="003C0D3B" w:rsidP="003C0D3B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86672C" w:rsidRPr="006B5754" w14:paraId="6BC965BA" w14:textId="77777777" w:rsidTr="00F013EB">
        <w:trPr>
          <w:trHeight w:val="498"/>
        </w:trPr>
        <w:tc>
          <w:tcPr>
            <w:tcW w:w="2405" w:type="dxa"/>
            <w:vMerge/>
            <w:vAlign w:val="center"/>
          </w:tcPr>
          <w:p w14:paraId="03F7C992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53FC9312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1BA2F9C0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5653F6EB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6B1769D5" w14:textId="5140165E" w:rsidR="0086672C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99,5-99,89%</w:t>
            </w:r>
          </w:p>
        </w:tc>
        <w:tc>
          <w:tcPr>
            <w:tcW w:w="783" w:type="dxa"/>
            <w:vAlign w:val="center"/>
          </w:tcPr>
          <w:p w14:paraId="6E3469BD" w14:textId="078ED216" w:rsidR="0086672C" w:rsidRPr="00CB450C" w:rsidRDefault="0086672C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86672C" w:rsidRPr="006B5754" w14:paraId="3B1DC1E0" w14:textId="77777777" w:rsidTr="00F013EB">
        <w:trPr>
          <w:trHeight w:val="498"/>
        </w:trPr>
        <w:tc>
          <w:tcPr>
            <w:tcW w:w="2405" w:type="dxa"/>
            <w:vMerge/>
            <w:vAlign w:val="center"/>
          </w:tcPr>
          <w:p w14:paraId="28508A55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34D798CD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4E0DB39C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7EB037EB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49090C9" w14:textId="591D5F3D" w:rsidR="0086672C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>99-99,49%</w:t>
            </w:r>
          </w:p>
        </w:tc>
        <w:tc>
          <w:tcPr>
            <w:tcW w:w="783" w:type="dxa"/>
            <w:vAlign w:val="center"/>
          </w:tcPr>
          <w:p w14:paraId="495E20D1" w14:textId="21A07E71" w:rsidR="0086672C" w:rsidRPr="00CB450C" w:rsidRDefault="00B65BA1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2</w:t>
            </w:r>
            <w:r w:rsidR="0086672C" w:rsidRPr="00CB450C">
              <w:rPr>
                <w:color w:val="EE0000"/>
              </w:rPr>
              <w:t>%</w:t>
            </w:r>
          </w:p>
        </w:tc>
      </w:tr>
      <w:tr w:rsidR="0086672C" w:rsidRPr="006B5754" w14:paraId="40B86A33" w14:textId="77777777" w:rsidTr="00F013EB">
        <w:trPr>
          <w:trHeight w:val="498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7FA380F1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3E96A433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3425FBBD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  <w:vAlign w:val="center"/>
          </w:tcPr>
          <w:p w14:paraId="303758E1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09F75882" w14:textId="26A6BA04" w:rsidR="0086672C" w:rsidRPr="00CB450C" w:rsidRDefault="0086672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 xml:space="preserve">&lt; </w:t>
            </w:r>
            <w:r w:rsidR="00B65BA1">
              <w:rPr>
                <w:color w:val="EE0000"/>
              </w:rPr>
              <w:t>99</w:t>
            </w:r>
            <w:r w:rsidRPr="00CB450C">
              <w:rPr>
                <w:color w:val="EE0000"/>
              </w:rPr>
              <w:t>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565973B2" w14:textId="52974184" w:rsidR="0086672C" w:rsidRPr="00CB450C" w:rsidRDefault="00B65BA1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5</w:t>
            </w:r>
            <w:r w:rsidR="0086672C" w:rsidRPr="00CB450C">
              <w:rPr>
                <w:color w:val="EE0000"/>
              </w:rPr>
              <w:t>%</w:t>
            </w:r>
          </w:p>
        </w:tc>
      </w:tr>
      <w:tr w:rsidR="00B65BA1" w:rsidRPr="006B5754" w14:paraId="50CFE27B" w14:textId="77777777" w:rsidTr="00F013EB">
        <w:trPr>
          <w:trHeight w:val="498"/>
        </w:trPr>
        <w:tc>
          <w:tcPr>
            <w:tcW w:w="2405" w:type="dxa"/>
            <w:vMerge w:val="restart"/>
            <w:vAlign w:val="center"/>
          </w:tcPr>
          <w:p w14:paraId="677DC9B5" w14:textId="51516CB5" w:rsidR="00B65BA1" w:rsidRPr="00B65BA1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Cumprimento de Prazos de Entrega (CPE)</w:t>
            </w:r>
          </w:p>
        </w:tc>
        <w:tc>
          <w:tcPr>
            <w:tcW w:w="851" w:type="dxa"/>
            <w:vMerge w:val="restart"/>
            <w:vAlign w:val="center"/>
          </w:tcPr>
          <w:p w14:paraId="5FB01B10" w14:textId="4C4B9A72" w:rsidR="00B65BA1" w:rsidRP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%</w:t>
            </w:r>
          </w:p>
        </w:tc>
        <w:tc>
          <w:tcPr>
            <w:tcW w:w="2268" w:type="dxa"/>
            <w:vMerge w:val="restart"/>
            <w:vAlign w:val="center"/>
          </w:tcPr>
          <w:p w14:paraId="020B2DC0" w14:textId="0B70EE72" w:rsidR="00B65BA1" w:rsidRPr="00B65BA1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B65BA1">
              <w:rPr>
                <w:color w:val="EE0000"/>
              </w:rPr>
              <w:t>(Nº de entregas realizadas no prazo / Nº total de entregas previstas) x 100</w:t>
            </w:r>
          </w:p>
        </w:tc>
        <w:tc>
          <w:tcPr>
            <w:tcW w:w="1377" w:type="dxa"/>
            <w:vMerge w:val="restart"/>
            <w:vAlign w:val="center"/>
          </w:tcPr>
          <w:p w14:paraId="01E6D8AC" w14:textId="06783587" w:rsidR="00B65BA1" w:rsidRP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Por entrega/Mensal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101301A0" w14:textId="4C8E42B8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100%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44321802" w14:textId="07C61D61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B65BA1" w:rsidRPr="006B5754" w14:paraId="355A097F" w14:textId="77777777" w:rsidTr="00F013EB">
        <w:trPr>
          <w:trHeight w:val="498"/>
        </w:trPr>
        <w:tc>
          <w:tcPr>
            <w:tcW w:w="2405" w:type="dxa"/>
            <w:vMerge/>
            <w:vAlign w:val="center"/>
          </w:tcPr>
          <w:p w14:paraId="52306392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2568BE8B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3E62A08E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68B63B0E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32046F43" w14:textId="7565C7A4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95-99,9%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6F2D3BBF" w14:textId="5661D9A5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B65BA1" w:rsidRPr="006B5754" w14:paraId="0A41AA20" w14:textId="77777777" w:rsidTr="00F013EB">
        <w:trPr>
          <w:trHeight w:val="498"/>
        </w:trPr>
        <w:tc>
          <w:tcPr>
            <w:tcW w:w="2405" w:type="dxa"/>
            <w:vMerge/>
            <w:vAlign w:val="center"/>
          </w:tcPr>
          <w:p w14:paraId="5A2B1165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vAlign w:val="center"/>
          </w:tcPr>
          <w:p w14:paraId="41473BBD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vAlign w:val="center"/>
          </w:tcPr>
          <w:p w14:paraId="64CB98A6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vAlign w:val="center"/>
          </w:tcPr>
          <w:p w14:paraId="71AC1415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718B6C87" w14:textId="0DBAE9EA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90-94,9%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0CCF5D79" w14:textId="02E76CC1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Pr="00CB450C">
              <w:rPr>
                <w:color w:val="EE0000"/>
              </w:rPr>
              <w:t>,5%</w:t>
            </w:r>
          </w:p>
        </w:tc>
      </w:tr>
      <w:tr w:rsidR="00B65BA1" w:rsidRPr="006B5754" w14:paraId="2D43CD84" w14:textId="77777777" w:rsidTr="00F013EB">
        <w:trPr>
          <w:trHeight w:val="498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142845D3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680B6BF8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1939EB67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  <w:vAlign w:val="center"/>
          </w:tcPr>
          <w:p w14:paraId="5E088DE1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0937EB2D" w14:textId="3117BA9B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B65BA1">
              <w:rPr>
                <w:color w:val="EE0000"/>
              </w:rPr>
              <w:t>&lt; 90%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4145C92E" w14:textId="0343EB7A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4%</w:t>
            </w:r>
          </w:p>
        </w:tc>
      </w:tr>
      <w:tr w:rsidR="00E749E8" w:rsidRPr="006B5754" w14:paraId="4B3D8342" w14:textId="77777777" w:rsidTr="00F013EB">
        <w:trPr>
          <w:trHeight w:val="498"/>
        </w:trPr>
        <w:tc>
          <w:tcPr>
            <w:tcW w:w="90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DC8093" w14:textId="78B11762" w:rsidR="00E749E8" w:rsidRPr="00E749E8" w:rsidRDefault="00E749E8" w:rsidP="00E749E8">
            <w:pPr>
              <w:spacing w:before="0" w:after="0" w:line="240" w:lineRule="auto"/>
              <w:rPr>
                <w:sz w:val="20"/>
                <w:szCs w:val="18"/>
              </w:rPr>
            </w:pPr>
            <w:r w:rsidRPr="006B5754">
              <w:rPr>
                <w:sz w:val="20"/>
                <w:szCs w:val="18"/>
              </w:rPr>
              <w:t xml:space="preserve">Nota: </w:t>
            </w:r>
            <w:r w:rsidR="00C279CD" w:rsidRPr="00C279CD">
              <w:rPr>
                <w:sz w:val="20"/>
                <w:szCs w:val="18"/>
              </w:rPr>
              <w:t>Os percentuais de glosa indicados são sobre o valor da fatura mensal do serviço ou sobre o valor da entrega específica, conforme definido em edital</w:t>
            </w:r>
            <w:r w:rsidRPr="006B5754">
              <w:rPr>
                <w:sz w:val="20"/>
                <w:szCs w:val="18"/>
              </w:rPr>
              <w:t>.</w:t>
            </w:r>
          </w:p>
        </w:tc>
      </w:tr>
    </w:tbl>
    <w:p w14:paraId="003D01D2" w14:textId="024576A4" w:rsidR="00CB450C" w:rsidRDefault="00CB450C" w:rsidP="00CB450C">
      <w:pPr>
        <w:pStyle w:val="NotaExplicativa"/>
      </w:pPr>
      <w:r w:rsidRPr="00CB450C">
        <w:rPr>
          <w:rStyle w:val="DestaqueChar"/>
        </w:rPr>
        <w:t>Nota Explicativa:</w:t>
      </w:r>
      <w:r>
        <w:t xml:space="preserve"> </w:t>
      </w:r>
      <w:r w:rsidRPr="00CB450C">
        <w:rPr>
          <w:rStyle w:val="DestaqueChar"/>
          <w:color w:val="EE0000"/>
        </w:rPr>
        <w:t>ATENÇÃO!</w:t>
      </w:r>
      <w:r w:rsidRPr="00CB450C">
        <w:t xml:space="preserve"> Os </w:t>
      </w:r>
      <w:r>
        <w:t xml:space="preserve">indicadores, </w:t>
      </w:r>
      <w:r w:rsidRPr="00CB450C">
        <w:t xml:space="preserve">percentuais, faixas de desempenho e valores de glosa apresentados neste documento são meramente exemplificativos. Devem ser cuidadosamente ajustados e justificados em cada processo de contratação, com base no Estudo Técnico Preliminar, Termo de Referência, Edital e Matriz de Riscos, considerando a natureza, complexidade e criticidade do objeto contratual, bem como a realidade do mercado e a capacidade de fiscalização do </w:t>
      </w:r>
      <w:r w:rsidR="00397100">
        <w:t>Município</w:t>
      </w:r>
      <w:r w:rsidRPr="00CB450C">
        <w:t>.</w:t>
      </w:r>
    </w:p>
    <w:p w14:paraId="4F3A269F" w14:textId="5B99ADBF" w:rsidR="006B5754" w:rsidRDefault="006B5754" w:rsidP="00F47B91">
      <w:pPr>
        <w:pStyle w:val="Nvel2"/>
      </w:pPr>
      <w:r w:rsidRPr="006B5754">
        <w:t xml:space="preserve">Exemplo de </w:t>
      </w:r>
      <w:r w:rsidR="00397100" w:rsidRPr="006B5754">
        <w:t xml:space="preserve">quadro </w:t>
      </w:r>
      <w:r w:rsidRPr="006B5754">
        <w:t xml:space="preserve">de </w:t>
      </w:r>
      <w:r w:rsidR="00397100" w:rsidRPr="006B5754">
        <w:t>medição mensal</w:t>
      </w:r>
      <w:r w:rsidR="00397100">
        <w:t>:</w:t>
      </w:r>
    </w:p>
    <w:tbl>
      <w:tblPr>
        <w:tblStyle w:val="Tabelacomgrade"/>
        <w:tblW w:w="5000" w:type="pct"/>
        <w:tblLook w:val="0000" w:firstRow="0" w:lastRow="0" w:firstColumn="0" w:lastColumn="0" w:noHBand="0" w:noVBand="0"/>
      </w:tblPr>
      <w:tblGrid>
        <w:gridCol w:w="1584"/>
        <w:gridCol w:w="1493"/>
        <w:gridCol w:w="1495"/>
        <w:gridCol w:w="1495"/>
        <w:gridCol w:w="1299"/>
        <w:gridCol w:w="1694"/>
      </w:tblGrid>
      <w:tr w:rsidR="00AC584D" w:rsidRPr="00397100" w14:paraId="02C6CAC9" w14:textId="77777777" w:rsidTr="00F47B91">
        <w:tc>
          <w:tcPr>
            <w:tcW w:w="874" w:type="pct"/>
            <w:vAlign w:val="center"/>
          </w:tcPr>
          <w:p w14:paraId="2CD92D74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Mês de Referência</w:t>
            </w:r>
          </w:p>
        </w:tc>
        <w:tc>
          <w:tcPr>
            <w:tcW w:w="824" w:type="pct"/>
            <w:vAlign w:val="center"/>
          </w:tcPr>
          <w:p w14:paraId="22B197E7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Indicador</w:t>
            </w:r>
          </w:p>
        </w:tc>
        <w:tc>
          <w:tcPr>
            <w:tcW w:w="825" w:type="pct"/>
            <w:vAlign w:val="center"/>
          </w:tcPr>
          <w:p w14:paraId="121D4DD1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Meta</w:t>
            </w:r>
          </w:p>
        </w:tc>
        <w:tc>
          <w:tcPr>
            <w:tcW w:w="825" w:type="pct"/>
            <w:vAlign w:val="center"/>
          </w:tcPr>
          <w:p w14:paraId="093EF6B0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Resultado Apurado</w:t>
            </w:r>
          </w:p>
        </w:tc>
        <w:tc>
          <w:tcPr>
            <w:tcW w:w="717" w:type="pct"/>
            <w:vAlign w:val="center"/>
          </w:tcPr>
          <w:p w14:paraId="0DA0BC03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Glosa Aplicada (%)</w:t>
            </w:r>
          </w:p>
        </w:tc>
        <w:tc>
          <w:tcPr>
            <w:tcW w:w="935" w:type="pct"/>
            <w:vAlign w:val="center"/>
          </w:tcPr>
          <w:p w14:paraId="6A5966BA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Valor da Glosa (R$)</w:t>
            </w:r>
          </w:p>
        </w:tc>
      </w:tr>
      <w:tr w:rsidR="00C279CD" w:rsidRPr="00397100" w14:paraId="0AC666A5" w14:textId="77777777" w:rsidTr="00C279CD">
        <w:tc>
          <w:tcPr>
            <w:tcW w:w="874" w:type="pct"/>
            <w:vAlign w:val="center"/>
          </w:tcPr>
          <w:p w14:paraId="1F5E3300" w14:textId="3F9D7F8E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7BD74065" w14:textId="100BF03A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064A3D">
              <w:t>ICE</w:t>
            </w:r>
          </w:p>
        </w:tc>
        <w:tc>
          <w:tcPr>
            <w:tcW w:w="825" w:type="pct"/>
            <w:vAlign w:val="center"/>
          </w:tcPr>
          <w:p w14:paraId="0BCE58C8" w14:textId="4BFB60DB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100%</w:t>
            </w:r>
          </w:p>
        </w:tc>
        <w:tc>
          <w:tcPr>
            <w:tcW w:w="825" w:type="pct"/>
            <w:vAlign w:val="center"/>
          </w:tcPr>
          <w:p w14:paraId="0630AE53" w14:textId="73AE354A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93%</w:t>
            </w:r>
          </w:p>
        </w:tc>
        <w:tc>
          <w:tcPr>
            <w:tcW w:w="717" w:type="pct"/>
            <w:vAlign w:val="center"/>
          </w:tcPr>
          <w:p w14:paraId="4FF8C6B3" w14:textId="71848E03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2%</w:t>
            </w:r>
          </w:p>
        </w:tc>
        <w:tc>
          <w:tcPr>
            <w:tcW w:w="935" w:type="pct"/>
            <w:vAlign w:val="center"/>
          </w:tcPr>
          <w:p w14:paraId="15EB9BD8" w14:textId="53A39117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C279CD" w:rsidRPr="00397100" w14:paraId="0AFCD20E" w14:textId="77777777" w:rsidTr="00C279CD">
        <w:tc>
          <w:tcPr>
            <w:tcW w:w="874" w:type="pct"/>
            <w:vAlign w:val="center"/>
          </w:tcPr>
          <w:p w14:paraId="785C6BC1" w14:textId="3B5BF8C3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0C9EC493" w14:textId="16F87FEC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064A3D">
              <w:t>PMAC</w:t>
            </w:r>
          </w:p>
        </w:tc>
        <w:tc>
          <w:tcPr>
            <w:tcW w:w="825" w:type="pct"/>
            <w:vAlign w:val="center"/>
          </w:tcPr>
          <w:p w14:paraId="41E7FFD0" w14:textId="1E87AE6C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≤ 4h</w:t>
            </w:r>
          </w:p>
        </w:tc>
        <w:tc>
          <w:tcPr>
            <w:tcW w:w="825" w:type="pct"/>
            <w:vAlign w:val="center"/>
          </w:tcPr>
          <w:p w14:paraId="7C4DA22E" w14:textId="7F8553F1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6h</w:t>
            </w:r>
          </w:p>
        </w:tc>
        <w:tc>
          <w:tcPr>
            <w:tcW w:w="717" w:type="pct"/>
            <w:vAlign w:val="center"/>
          </w:tcPr>
          <w:p w14:paraId="2B267BE5" w14:textId="5D9A5821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0%</w:t>
            </w:r>
          </w:p>
        </w:tc>
        <w:tc>
          <w:tcPr>
            <w:tcW w:w="935" w:type="pct"/>
            <w:vAlign w:val="center"/>
          </w:tcPr>
          <w:p w14:paraId="7E6BDCA6" w14:textId="692898E8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C279CD" w:rsidRPr="00397100" w14:paraId="0C71D0AA" w14:textId="77777777" w:rsidTr="00C279CD">
        <w:tc>
          <w:tcPr>
            <w:tcW w:w="874" w:type="pct"/>
            <w:vAlign w:val="center"/>
          </w:tcPr>
          <w:p w14:paraId="7AAB065F" w14:textId="18DA2632" w:rsidR="00C279CD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0E2059B5" w14:textId="51DDE062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TR</w:t>
            </w:r>
          </w:p>
        </w:tc>
        <w:tc>
          <w:tcPr>
            <w:tcW w:w="825" w:type="pct"/>
            <w:vAlign w:val="center"/>
          </w:tcPr>
          <w:p w14:paraId="0A1E3D83" w14:textId="563B1F74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0%</w:t>
            </w:r>
          </w:p>
        </w:tc>
        <w:tc>
          <w:tcPr>
            <w:tcW w:w="825" w:type="pct"/>
            <w:vAlign w:val="center"/>
          </w:tcPr>
          <w:p w14:paraId="452A8C60" w14:textId="38F25371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3%</w:t>
            </w:r>
          </w:p>
        </w:tc>
        <w:tc>
          <w:tcPr>
            <w:tcW w:w="717" w:type="pct"/>
            <w:vAlign w:val="center"/>
          </w:tcPr>
          <w:p w14:paraId="0C582B26" w14:textId="0533DB22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1,5%</w:t>
            </w:r>
          </w:p>
        </w:tc>
        <w:tc>
          <w:tcPr>
            <w:tcW w:w="935" w:type="pct"/>
            <w:vAlign w:val="center"/>
          </w:tcPr>
          <w:p w14:paraId="2D7C1657" w14:textId="01486398" w:rsidR="00C279CD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AC584D" w:rsidRPr="00397100" w14:paraId="02975A0C" w14:textId="77777777" w:rsidTr="00F47B91">
        <w:tc>
          <w:tcPr>
            <w:tcW w:w="4065" w:type="pct"/>
            <w:gridSpan w:val="5"/>
            <w:vAlign w:val="center"/>
          </w:tcPr>
          <w:p w14:paraId="6C5CABF8" w14:textId="5DB4EBD0" w:rsidR="00AC584D" w:rsidRPr="00F47B91" w:rsidRDefault="00AC584D" w:rsidP="00F47B91">
            <w:pPr>
              <w:pStyle w:val="Destaque"/>
              <w:spacing w:before="120" w:after="120"/>
              <w:jc w:val="right"/>
            </w:pPr>
            <w:r w:rsidRPr="00397100">
              <w:t>Total de Glosas no Mês</w:t>
            </w:r>
          </w:p>
        </w:tc>
        <w:tc>
          <w:tcPr>
            <w:tcW w:w="935" w:type="pct"/>
            <w:vAlign w:val="center"/>
          </w:tcPr>
          <w:p w14:paraId="3A3E4986" w14:textId="60C7CF90" w:rsidR="00AC584D" w:rsidRPr="00F47B91" w:rsidRDefault="00DC3E75" w:rsidP="00F47B91">
            <w:pPr>
              <w:pStyle w:val="Destaque"/>
              <w:spacing w:before="120" w:after="120"/>
              <w:jc w:val="center"/>
            </w:pPr>
            <w:r>
              <w:t>[Soma das Glosas]</w:t>
            </w:r>
          </w:p>
        </w:tc>
      </w:tr>
    </w:tbl>
    <w:p w14:paraId="2A36C781" w14:textId="793D9888" w:rsidR="0057444E" w:rsidRDefault="0057444E" w:rsidP="0057444E">
      <w:pPr>
        <w:pStyle w:val="Nvel1-Ttulo"/>
      </w:pPr>
      <w:r>
        <w:lastRenderedPageBreak/>
        <w:t>Considerações Finais</w:t>
      </w:r>
    </w:p>
    <w:p w14:paraId="6E82ED5C" w14:textId="77777777" w:rsidR="00F47B91" w:rsidRDefault="00F47B91" w:rsidP="00F47B91">
      <w:pPr>
        <w:pStyle w:val="Nvel2"/>
      </w:pPr>
      <w:r>
        <w:t>A implementação do Instrumento de Medição de Resultados representa relevante aprimoramento na gestão dos contratos administrativos, ao deslocar o enfoque do mero cumprimento formal para a efetiva entrega de resultados. Tal modelo favorece maior transparência e objetividade na fiscalização, reduzindo margens de subjetividade e, por conseguinte, potenciais conflitos entre Administração e contratado. Ademais, fortalece a vinculação entre desempenho e remuneração, incentivando padrões mais elevados de qualidade e eficiência na execução contratual.</w:t>
      </w:r>
    </w:p>
    <w:p w14:paraId="1B114053" w14:textId="634D94F4" w:rsidR="001307F3" w:rsidRDefault="00F47B91" w:rsidP="00F47B91">
      <w:pPr>
        <w:pStyle w:val="Nvel2"/>
      </w:pPr>
      <w:r>
        <w:t>Sob o prisma gerencial e jurídico, o IMR contribui para a economicidade, na medida em que condiciona o pagamento àquilo que efetivamente foi entregue com a qualidade exigida, evitando dispêndios indevidos. Paralelamente, gera informações relevantes para o aperfeiçoamento contínuo das contratações futuras, permitindo ajustes mais precisos nos instrumentos convocatórios e contratuais. Por fim, confere maior segurança jurídica à atuação administrativa, ao fornecer base objetiva para a aplicação de glosas e sanções, em consonância com a Lei nº 14.133, de 2021.</w:t>
      </w:r>
    </w:p>
    <w:p w14:paraId="1511B5AF" w14:textId="45D0C233" w:rsidR="004D12C5" w:rsidRPr="00DC603D" w:rsidRDefault="004D12C5" w:rsidP="004D12C5">
      <w:pPr>
        <w:rPr>
          <w:szCs w:val="24"/>
        </w:rPr>
      </w:pPr>
      <w:r w:rsidRPr="00DC603D">
        <w:rPr>
          <w:szCs w:val="24"/>
        </w:rPr>
        <w:t xml:space="preserve">Irupi/ES, </w:t>
      </w:r>
      <w:r>
        <w:rPr>
          <w:rStyle w:val="Nvel2-RedChar"/>
          <w:rFonts w:asciiTheme="minorHAnsi" w:hAnsiTheme="minorHAnsi"/>
          <w:i w:val="0"/>
          <w:iCs/>
          <w:szCs w:val="24"/>
        </w:rPr>
        <w:t>xx</w:t>
      </w:r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r>
        <w:rPr>
          <w:rStyle w:val="Nvel2-RedChar"/>
          <w:rFonts w:asciiTheme="minorHAnsi" w:hAnsiTheme="minorHAnsi"/>
          <w:i w:val="0"/>
          <w:iCs/>
          <w:szCs w:val="24"/>
        </w:rPr>
        <w:t>xxxxxxxxx</w:t>
      </w:r>
      <w:r w:rsidRPr="00DC603D">
        <w:rPr>
          <w:szCs w:val="24"/>
        </w:rPr>
        <w:t xml:space="preserve"> de </w:t>
      </w:r>
      <w:r>
        <w:rPr>
          <w:rStyle w:val="Nvel2-RedChar"/>
          <w:rFonts w:asciiTheme="minorHAnsi" w:hAnsiTheme="minorHAnsi"/>
          <w:i w:val="0"/>
          <w:iCs/>
          <w:szCs w:val="24"/>
        </w:rPr>
        <w:t>xxxx</w:t>
      </w:r>
      <w:r w:rsidRPr="00DC603D">
        <w:rPr>
          <w:szCs w:val="24"/>
        </w:rPr>
        <w:t>.</w:t>
      </w:r>
    </w:p>
    <w:p w14:paraId="6373C520" w14:textId="77777777" w:rsidR="004D12C5" w:rsidRDefault="004D12C5" w:rsidP="004D12C5"/>
    <w:p w14:paraId="6B5E528F" w14:textId="77777777" w:rsidR="004D12C5" w:rsidRPr="002D2AFE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733F5BD9" w14:textId="155F27FD" w:rsidR="004D12C5" w:rsidRPr="004D12C5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responsável(is)</w:t>
      </w:r>
    </w:p>
    <w:sectPr w:rsidR="004D12C5" w:rsidRPr="004D12C5" w:rsidSect="00EA18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CEB35" w14:textId="77777777" w:rsidR="00C84EEB" w:rsidRDefault="00C84EEB" w:rsidP="001223EB">
      <w:pPr>
        <w:spacing w:after="0" w:line="240" w:lineRule="auto"/>
      </w:pPr>
      <w:r>
        <w:separator/>
      </w:r>
    </w:p>
  </w:endnote>
  <w:endnote w:type="continuationSeparator" w:id="0">
    <w:p w14:paraId="0AF55BC5" w14:textId="77777777" w:rsidR="00C84EEB" w:rsidRDefault="00C84EEB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C9E4B7B-8574-4C16-A64B-ED5D38ADA864}"/>
    <w:embedBold r:id="rId2" w:fontKey="{1F415FBB-957F-4D21-982B-83DA833EF56E}"/>
    <w:embedItalic r:id="rId3" w:fontKey="{DE6689FE-43D0-4187-992E-D2CEC95DCEB9}"/>
    <w:embedBoldItalic r:id="rId4" w:fontKey="{AE4F8968-A67D-4C50-8334-4218A5B2B71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66A74169-D597-469D-9DF1-296609C2DE1D}"/>
    <w:embedBold r:id="rId6" w:fontKey="{760375C8-1BD2-40C3-A18E-AF8E032A881F}"/>
    <w:embedItalic r:id="rId7" w:fontKey="{50DE50DB-97BF-4A3A-A242-802DA58E3D5C}"/>
    <w:embedBoldItalic r:id="rId8" w:fontKey="{1F74225E-C60F-40F1-B86F-6D1ECEFC2BEC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1BA9C34D-4899-465C-A81E-7EF9BD673907}"/>
    <w:embedBold r:id="rId10" w:fontKey="{1B80750C-59AE-4C2C-8888-6DD3FDA25BA0}"/>
    <w:embedItalic r:id="rId11" w:fontKey="{99E56BC6-1EC6-458F-B754-32022D16E11F}"/>
    <w:embedBoldItalic r:id="rId12" w:fontKey="{C5AA2ECF-0552-4908-82CE-E06EBE8E540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0354A62D-CA2D-4A63-8D90-6FA00C7A23D8}"/>
    <w:embedBoldItalic r:id="rId14" w:fontKey="{2BCD26CA-43B7-4D7A-98BE-6562830A2B8A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13970EF7-9F71-4569-BAF2-7E56A3A562D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6" w:fontKey="{573A93AA-FA2C-43D7-B113-7DB408BDF1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C5576" w14:textId="77777777" w:rsidR="00F013EB" w:rsidRDefault="00F013E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25E8A" w14:textId="0DD47F34" w:rsidR="008D2339" w:rsidRDefault="008D233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0" w:name="_Hlk180539419"/>
    <w:bookmarkStart w:id="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2F61730" wp14:editId="45E47E41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CB483D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</w:t>
    </w:r>
    <w:r w:rsidR="00CB483D">
      <w:rPr>
        <w:rFonts w:cs="Calibri"/>
        <w:sz w:val="20"/>
        <w:szCs w:val="20"/>
      </w:rPr>
      <w:t>2026</w:t>
    </w:r>
  </w:p>
  <w:bookmarkEnd w:id="0"/>
  <w:bookmarkEnd w:id="1"/>
  <w:p w14:paraId="7DD1CDD0" w14:textId="3CA39069" w:rsidR="00246CFA" w:rsidRPr="008D2339" w:rsidRDefault="004D12C5" w:rsidP="008D233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 xml:space="preserve">Modelo de IMR </w:t>
    </w:r>
    <w:r w:rsidR="00F013EB">
      <w:rPr>
        <w:rFonts w:cs="Calibri"/>
        <w:sz w:val="20"/>
        <w:szCs w:val="20"/>
      </w:rPr>
      <w:t>–</w:t>
    </w:r>
    <w:r>
      <w:rPr>
        <w:rFonts w:cs="Calibri"/>
        <w:sz w:val="20"/>
        <w:szCs w:val="20"/>
      </w:rPr>
      <w:t xml:space="preserve"> </w:t>
    </w:r>
    <w:r w:rsidR="00F013EB">
      <w:rPr>
        <w:rFonts w:cs="Calibri"/>
        <w:sz w:val="20"/>
        <w:szCs w:val="20"/>
      </w:rPr>
      <w:t xml:space="preserve">Serviços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A5160" w14:textId="77777777" w:rsidR="00F013EB" w:rsidRDefault="00F013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AD4AB" w14:textId="77777777" w:rsidR="00C84EEB" w:rsidRDefault="00C84EEB" w:rsidP="001223EB">
      <w:pPr>
        <w:spacing w:after="0" w:line="240" w:lineRule="auto"/>
      </w:pPr>
      <w:r>
        <w:separator/>
      </w:r>
    </w:p>
  </w:footnote>
  <w:footnote w:type="continuationSeparator" w:id="0">
    <w:p w14:paraId="18BC68F8" w14:textId="77777777" w:rsidR="00C84EEB" w:rsidRDefault="00C84EEB" w:rsidP="00122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57F04" w14:textId="77777777" w:rsidR="00F013EB" w:rsidRDefault="00F013E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90105" w14:textId="77777777" w:rsidR="00F013EB" w:rsidRDefault="00F013E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6D83C" w14:textId="77777777" w:rsidR="00F013EB" w:rsidRDefault="00F013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54"/>
    <w:rsid w:val="00000D1D"/>
    <w:rsid w:val="00026A75"/>
    <w:rsid w:val="000522DF"/>
    <w:rsid w:val="0005492B"/>
    <w:rsid w:val="00094616"/>
    <w:rsid w:val="00095637"/>
    <w:rsid w:val="000A0701"/>
    <w:rsid w:val="000D3FA1"/>
    <w:rsid w:val="000D5DFD"/>
    <w:rsid w:val="000E29A0"/>
    <w:rsid w:val="000E2BF3"/>
    <w:rsid w:val="000F262F"/>
    <w:rsid w:val="000F7975"/>
    <w:rsid w:val="00111FD6"/>
    <w:rsid w:val="001148AC"/>
    <w:rsid w:val="001223EB"/>
    <w:rsid w:val="00127AC2"/>
    <w:rsid w:val="001307F3"/>
    <w:rsid w:val="00143C50"/>
    <w:rsid w:val="00165621"/>
    <w:rsid w:val="00170C48"/>
    <w:rsid w:val="00173CB0"/>
    <w:rsid w:val="00182E9E"/>
    <w:rsid w:val="00191CB1"/>
    <w:rsid w:val="001A7190"/>
    <w:rsid w:val="001B5507"/>
    <w:rsid w:val="001D19DC"/>
    <w:rsid w:val="001E2B7B"/>
    <w:rsid w:val="001F0AA4"/>
    <w:rsid w:val="001F1E8B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A0268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97100"/>
    <w:rsid w:val="003A6580"/>
    <w:rsid w:val="003B56AA"/>
    <w:rsid w:val="003C0D3B"/>
    <w:rsid w:val="003C2CBE"/>
    <w:rsid w:val="003C2DAE"/>
    <w:rsid w:val="003C6546"/>
    <w:rsid w:val="003D2A8D"/>
    <w:rsid w:val="003D71FC"/>
    <w:rsid w:val="003E1CC3"/>
    <w:rsid w:val="003E2FCF"/>
    <w:rsid w:val="003F05A1"/>
    <w:rsid w:val="003F0AD3"/>
    <w:rsid w:val="003F2DC5"/>
    <w:rsid w:val="0040495A"/>
    <w:rsid w:val="00440346"/>
    <w:rsid w:val="00444B91"/>
    <w:rsid w:val="00445391"/>
    <w:rsid w:val="00453C62"/>
    <w:rsid w:val="00467366"/>
    <w:rsid w:val="00474101"/>
    <w:rsid w:val="004A634D"/>
    <w:rsid w:val="004C0E7A"/>
    <w:rsid w:val="004D12C5"/>
    <w:rsid w:val="004F7720"/>
    <w:rsid w:val="00532C53"/>
    <w:rsid w:val="00542D6A"/>
    <w:rsid w:val="005443F0"/>
    <w:rsid w:val="0055193B"/>
    <w:rsid w:val="00565DAE"/>
    <w:rsid w:val="0057444E"/>
    <w:rsid w:val="00582B32"/>
    <w:rsid w:val="00585541"/>
    <w:rsid w:val="005A18E3"/>
    <w:rsid w:val="005A2726"/>
    <w:rsid w:val="005B5432"/>
    <w:rsid w:val="005C0FAE"/>
    <w:rsid w:val="005E20B6"/>
    <w:rsid w:val="005E2C4F"/>
    <w:rsid w:val="005E35DA"/>
    <w:rsid w:val="00604513"/>
    <w:rsid w:val="00615E7E"/>
    <w:rsid w:val="006223DE"/>
    <w:rsid w:val="00626937"/>
    <w:rsid w:val="00652245"/>
    <w:rsid w:val="0065747A"/>
    <w:rsid w:val="00661AA1"/>
    <w:rsid w:val="0068549A"/>
    <w:rsid w:val="006B007F"/>
    <w:rsid w:val="006B5754"/>
    <w:rsid w:val="006C7655"/>
    <w:rsid w:val="006C7A15"/>
    <w:rsid w:val="006D2F21"/>
    <w:rsid w:val="006D6763"/>
    <w:rsid w:val="0073152E"/>
    <w:rsid w:val="0073203E"/>
    <w:rsid w:val="00735155"/>
    <w:rsid w:val="007367BD"/>
    <w:rsid w:val="00773498"/>
    <w:rsid w:val="00786C99"/>
    <w:rsid w:val="00790D7E"/>
    <w:rsid w:val="0079524B"/>
    <w:rsid w:val="007A4A7F"/>
    <w:rsid w:val="007B41DB"/>
    <w:rsid w:val="007D71AB"/>
    <w:rsid w:val="007F03E7"/>
    <w:rsid w:val="0082073C"/>
    <w:rsid w:val="008427B4"/>
    <w:rsid w:val="008519A7"/>
    <w:rsid w:val="0086672C"/>
    <w:rsid w:val="00875D77"/>
    <w:rsid w:val="00881F22"/>
    <w:rsid w:val="0089018C"/>
    <w:rsid w:val="00892E37"/>
    <w:rsid w:val="00896C59"/>
    <w:rsid w:val="008B12CF"/>
    <w:rsid w:val="008B3809"/>
    <w:rsid w:val="008C251B"/>
    <w:rsid w:val="008C62EE"/>
    <w:rsid w:val="008D2339"/>
    <w:rsid w:val="00947E19"/>
    <w:rsid w:val="00952522"/>
    <w:rsid w:val="00955FC4"/>
    <w:rsid w:val="00981CD3"/>
    <w:rsid w:val="009C5D18"/>
    <w:rsid w:val="009C78CF"/>
    <w:rsid w:val="009D1276"/>
    <w:rsid w:val="009F175E"/>
    <w:rsid w:val="009F64C3"/>
    <w:rsid w:val="009F6842"/>
    <w:rsid w:val="00A036B8"/>
    <w:rsid w:val="00A036EF"/>
    <w:rsid w:val="00A10F80"/>
    <w:rsid w:val="00A11B43"/>
    <w:rsid w:val="00A20FE2"/>
    <w:rsid w:val="00A333E5"/>
    <w:rsid w:val="00A541ED"/>
    <w:rsid w:val="00A61ACE"/>
    <w:rsid w:val="00A734D3"/>
    <w:rsid w:val="00A83D35"/>
    <w:rsid w:val="00A9450D"/>
    <w:rsid w:val="00AA52DD"/>
    <w:rsid w:val="00AA673B"/>
    <w:rsid w:val="00AC384B"/>
    <w:rsid w:val="00AC584D"/>
    <w:rsid w:val="00AD20B6"/>
    <w:rsid w:val="00AF0E76"/>
    <w:rsid w:val="00B029EE"/>
    <w:rsid w:val="00B04F84"/>
    <w:rsid w:val="00B156CC"/>
    <w:rsid w:val="00B34FE6"/>
    <w:rsid w:val="00B362CF"/>
    <w:rsid w:val="00B40A66"/>
    <w:rsid w:val="00B57B89"/>
    <w:rsid w:val="00B643F9"/>
    <w:rsid w:val="00B65BA1"/>
    <w:rsid w:val="00B75458"/>
    <w:rsid w:val="00BA3C40"/>
    <w:rsid w:val="00BB6F4C"/>
    <w:rsid w:val="00BC578A"/>
    <w:rsid w:val="00BE6361"/>
    <w:rsid w:val="00BE6693"/>
    <w:rsid w:val="00BF16CE"/>
    <w:rsid w:val="00C21EBD"/>
    <w:rsid w:val="00C279CD"/>
    <w:rsid w:val="00C338D7"/>
    <w:rsid w:val="00C3624D"/>
    <w:rsid w:val="00C37C4C"/>
    <w:rsid w:val="00C5025D"/>
    <w:rsid w:val="00C663B4"/>
    <w:rsid w:val="00C84EEB"/>
    <w:rsid w:val="00C86CF0"/>
    <w:rsid w:val="00CA2228"/>
    <w:rsid w:val="00CB159E"/>
    <w:rsid w:val="00CB450C"/>
    <w:rsid w:val="00CB483D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95E68"/>
    <w:rsid w:val="00DA111E"/>
    <w:rsid w:val="00DA7E00"/>
    <w:rsid w:val="00DB05B9"/>
    <w:rsid w:val="00DB3EA0"/>
    <w:rsid w:val="00DC3A27"/>
    <w:rsid w:val="00DC3E75"/>
    <w:rsid w:val="00DC434C"/>
    <w:rsid w:val="00DC7382"/>
    <w:rsid w:val="00E00DF3"/>
    <w:rsid w:val="00E04713"/>
    <w:rsid w:val="00E12D4F"/>
    <w:rsid w:val="00E12EC8"/>
    <w:rsid w:val="00E20B34"/>
    <w:rsid w:val="00E322F3"/>
    <w:rsid w:val="00E4159F"/>
    <w:rsid w:val="00E431A6"/>
    <w:rsid w:val="00E749E8"/>
    <w:rsid w:val="00EA1849"/>
    <w:rsid w:val="00EA5D06"/>
    <w:rsid w:val="00EB6CE0"/>
    <w:rsid w:val="00EC4874"/>
    <w:rsid w:val="00EC5314"/>
    <w:rsid w:val="00EE55CE"/>
    <w:rsid w:val="00EF1C78"/>
    <w:rsid w:val="00F013EB"/>
    <w:rsid w:val="00F241B0"/>
    <w:rsid w:val="00F3405C"/>
    <w:rsid w:val="00F34319"/>
    <w:rsid w:val="00F47B91"/>
    <w:rsid w:val="00F52373"/>
    <w:rsid w:val="00F65FFB"/>
    <w:rsid w:val="00F70D22"/>
    <w:rsid w:val="00F870E6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15B91"/>
  <w15:chartTrackingRefBased/>
  <w15:docId w15:val="{12AF5F79-22C0-4AC3-80FD-9AB589D0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EB6CE0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EB6CE0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table" w:styleId="TabeladeGrade1Clara">
    <w:name w:val="Grid Table 1 Light"/>
    <w:basedOn w:val="Tabelanormal"/>
    <w:uiPriority w:val="46"/>
    <w:rsid w:val="006B575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comgrade">
    <w:name w:val="Table Grid"/>
    <w:basedOn w:val="Tabelanormal"/>
    <w:uiPriority w:val="39"/>
    <w:rsid w:val="006B5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10</TotalTime>
  <Pages>7</Pages>
  <Words>2083</Words>
  <Characters>11250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8</cp:revision>
  <dcterms:created xsi:type="dcterms:W3CDTF">2026-03-23T16:59:00Z</dcterms:created>
  <dcterms:modified xsi:type="dcterms:W3CDTF">2026-03-25T16:32:00Z</dcterms:modified>
</cp:coreProperties>
</file>